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扬州市中心血站</w:t>
      </w:r>
    </w:p>
    <w:p>
      <w:pPr>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关于</w:t>
      </w:r>
      <w:r>
        <w:rPr>
          <w:rFonts w:hint="eastAsia" w:ascii="Times New Roman" w:hAnsi="Times New Roman" w:eastAsia="方正小标宋_GBK" w:cs="Times New Roman"/>
          <w:sz w:val="36"/>
          <w:szCs w:val="36"/>
        </w:rPr>
        <w:t>标准物质及血清盘产品</w:t>
      </w:r>
      <w:r>
        <w:rPr>
          <w:rFonts w:ascii="Times New Roman" w:hAnsi="Times New Roman" w:eastAsia="方正小标宋_GBK" w:cs="Times New Roman"/>
          <w:sz w:val="36"/>
          <w:szCs w:val="36"/>
        </w:rPr>
        <w:t>询</w:t>
      </w:r>
      <w:r>
        <w:rPr>
          <w:rFonts w:hint="eastAsia" w:ascii="Times New Roman" w:hAnsi="Times New Roman" w:eastAsia="方正小标宋_GBK" w:cs="Times New Roman"/>
          <w:sz w:val="36"/>
          <w:szCs w:val="36"/>
        </w:rPr>
        <w:t>比</w:t>
      </w:r>
      <w:r>
        <w:rPr>
          <w:rFonts w:ascii="Times New Roman" w:hAnsi="Times New Roman" w:eastAsia="方正小标宋_GBK" w:cs="Times New Roman"/>
          <w:sz w:val="36"/>
          <w:szCs w:val="36"/>
        </w:rPr>
        <w:t>采购项目招标公告</w:t>
      </w:r>
    </w:p>
    <w:p>
      <w:pPr>
        <w:rPr>
          <w:rFonts w:ascii="Times New Roman" w:hAnsi="Times New Roman" w:eastAsia="方正仿宋_GBK" w:cs="Times New Roman"/>
          <w:sz w:val="28"/>
          <w:szCs w:val="28"/>
        </w:rPr>
      </w:pPr>
    </w:p>
    <w:p>
      <w:pPr>
        <w:ind w:firstLine="560" w:firstLineChars="20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一、项目概况：</w:t>
      </w:r>
    </w:p>
    <w:p>
      <w:pPr>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r>
        <w:rPr>
          <w:rFonts w:ascii="Times New Roman" w:hAnsi="Times New Roman" w:eastAsia="方正仿宋_GBK" w:cs="Times New Roman"/>
          <w:sz w:val="28"/>
          <w:szCs w:val="28"/>
        </w:rPr>
        <w:t>项目名称：扬州市中心血站</w:t>
      </w:r>
      <w:r>
        <w:rPr>
          <w:rFonts w:hint="eastAsia" w:ascii="Times New Roman" w:hAnsi="Times New Roman" w:eastAsia="方正仿宋_GBK" w:cs="Times New Roman"/>
          <w:sz w:val="28"/>
          <w:szCs w:val="28"/>
        </w:rPr>
        <w:t>关于标准物质及血清盘产品</w:t>
      </w:r>
      <w:r>
        <w:rPr>
          <w:rFonts w:ascii="Times New Roman" w:hAnsi="Times New Roman" w:eastAsia="方正仿宋_GBK" w:cs="Times New Roman"/>
          <w:sz w:val="28"/>
          <w:szCs w:val="28"/>
        </w:rPr>
        <w:t>询比采购项目</w:t>
      </w:r>
      <w:r>
        <w:rPr>
          <w:rFonts w:hint="eastAsia" w:ascii="Times New Roman" w:hAnsi="Times New Roman" w:eastAsia="方正仿宋_GBK" w:cs="Times New Roman"/>
          <w:sz w:val="28"/>
          <w:szCs w:val="28"/>
        </w:rPr>
        <w:t>。</w:t>
      </w:r>
    </w:p>
    <w:p>
      <w:pPr>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报价要求：按单价进行报价，报价应包括但不限于所有设备、材料、税金、包装费、运杂费、保险费、资料费、培训费用、保修期内维修费用、项目通过验收所包含的各项费用及综合费等直至完全交付采购人使用的所有费用。所投产品须符合国家相关技术规范。除合同另有规定之外，伴随服务的费用均已含在合同价款中，采购人不再另行支付。</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1161"/>
        <w:gridCol w:w="4229"/>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jc w:val="center"/>
              <w:rPr>
                <w:rFonts w:ascii="Times New Roman" w:hAnsi="Times New Roman" w:eastAsia="方正仿宋_GBK" w:cs="Times New Roman"/>
                <w:b/>
                <w:bCs/>
                <w:sz w:val="24"/>
              </w:rPr>
            </w:pPr>
            <w:r>
              <w:rPr>
                <w:rFonts w:ascii="Times New Roman" w:hAnsi="Times New Roman" w:eastAsia="方正仿宋_GBK" w:cs="Times New Roman"/>
                <w:b/>
                <w:bCs/>
                <w:sz w:val="24"/>
              </w:rPr>
              <w:t>品</w:t>
            </w:r>
            <w:r>
              <w:rPr>
                <w:rFonts w:hint="eastAsia" w:ascii="Times New Roman" w:hAnsi="Times New Roman" w:eastAsia="方正仿宋_GBK" w:cs="Times New Roman"/>
                <w:b/>
                <w:bCs/>
                <w:sz w:val="24"/>
              </w:rPr>
              <w:t xml:space="preserve">  </w:t>
            </w:r>
            <w:r>
              <w:rPr>
                <w:rFonts w:ascii="Times New Roman" w:hAnsi="Times New Roman" w:eastAsia="方正仿宋_GBK" w:cs="Times New Roman"/>
                <w:b/>
                <w:bCs/>
                <w:sz w:val="24"/>
              </w:rPr>
              <w:t>名</w:t>
            </w:r>
          </w:p>
        </w:tc>
        <w:tc>
          <w:tcPr>
            <w:tcW w:w="1161" w:type="dxa"/>
            <w:vAlign w:val="center"/>
          </w:tcPr>
          <w:p>
            <w:pPr>
              <w:jc w:val="center"/>
              <w:rPr>
                <w:rFonts w:ascii="Times New Roman" w:hAnsi="Times New Roman" w:eastAsia="方正仿宋_GBK" w:cs="Times New Roman"/>
                <w:b/>
                <w:bCs/>
                <w:sz w:val="24"/>
              </w:rPr>
            </w:pPr>
            <w:r>
              <w:rPr>
                <w:rFonts w:ascii="Times New Roman" w:hAnsi="Times New Roman" w:eastAsia="方正仿宋_GBK" w:cs="Times New Roman"/>
                <w:b/>
                <w:bCs/>
                <w:sz w:val="24"/>
              </w:rPr>
              <w:t>规</w:t>
            </w:r>
            <w:r>
              <w:rPr>
                <w:rFonts w:hint="eastAsia" w:ascii="Times New Roman" w:hAnsi="Times New Roman" w:eastAsia="方正仿宋_GBK" w:cs="Times New Roman"/>
                <w:b/>
                <w:bCs/>
                <w:sz w:val="24"/>
              </w:rPr>
              <w:t xml:space="preserve">  </w:t>
            </w:r>
            <w:r>
              <w:rPr>
                <w:rFonts w:ascii="Times New Roman" w:hAnsi="Times New Roman" w:eastAsia="方正仿宋_GBK" w:cs="Times New Roman"/>
                <w:b/>
                <w:bCs/>
                <w:sz w:val="24"/>
              </w:rPr>
              <w:t>格</w:t>
            </w:r>
          </w:p>
        </w:tc>
        <w:tc>
          <w:tcPr>
            <w:tcW w:w="4229" w:type="dxa"/>
            <w:vAlign w:val="center"/>
          </w:tcPr>
          <w:p>
            <w:pPr>
              <w:jc w:val="center"/>
              <w:rPr>
                <w:rFonts w:ascii="Times New Roman" w:hAnsi="Times New Roman" w:eastAsia="方正仿宋_GBK" w:cs="Times New Roman"/>
                <w:b/>
                <w:bCs/>
                <w:sz w:val="24"/>
              </w:rPr>
            </w:pPr>
            <w:r>
              <w:rPr>
                <w:rFonts w:ascii="Times New Roman" w:hAnsi="Times New Roman" w:eastAsia="方正仿宋_GBK" w:cs="Times New Roman"/>
                <w:b/>
                <w:bCs/>
                <w:sz w:val="24"/>
              </w:rPr>
              <w:t>参</w:t>
            </w:r>
            <w:r>
              <w:rPr>
                <w:rFonts w:hint="eastAsia" w:ascii="Times New Roman" w:hAnsi="Times New Roman" w:eastAsia="方正仿宋_GBK" w:cs="Times New Roman"/>
                <w:b/>
                <w:bCs/>
                <w:sz w:val="24"/>
              </w:rPr>
              <w:t xml:space="preserve">  </w:t>
            </w:r>
            <w:r>
              <w:rPr>
                <w:rFonts w:ascii="Times New Roman" w:hAnsi="Times New Roman" w:eastAsia="方正仿宋_GBK" w:cs="Times New Roman"/>
                <w:b/>
                <w:bCs/>
                <w:sz w:val="24"/>
              </w:rPr>
              <w:t>数</w:t>
            </w:r>
          </w:p>
        </w:tc>
        <w:tc>
          <w:tcPr>
            <w:tcW w:w="1237" w:type="dxa"/>
            <w:vAlign w:val="center"/>
          </w:tcPr>
          <w:p>
            <w:pPr>
              <w:jc w:val="center"/>
              <w:rPr>
                <w:rFonts w:ascii="Times New Roman" w:hAnsi="Times New Roman" w:eastAsia="方正仿宋_GBK" w:cs="Times New Roman"/>
                <w:b/>
                <w:bCs/>
                <w:sz w:val="24"/>
              </w:rPr>
            </w:pPr>
            <w:r>
              <w:rPr>
                <w:rFonts w:ascii="Times New Roman" w:hAnsi="Times New Roman" w:eastAsia="方正仿宋_GBK" w:cs="Times New Roman"/>
                <w:b/>
                <w:bCs/>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血筛四项血清（液体）标准物质-初检</w:t>
            </w:r>
          </w:p>
        </w:tc>
        <w:tc>
          <w:tcPr>
            <w:tcW w:w="1161" w:type="dxa"/>
            <w:vAlign w:val="center"/>
          </w:tcPr>
          <w:p>
            <w:pPr>
              <w:spacing w:line="2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r>
              <w:rPr>
                <w:rFonts w:hint="eastAsia" w:ascii="Times New Roman" w:hAnsi="Times New Roman" w:eastAsia="方正仿宋_GBK" w:cs="Times New Roman"/>
                <w:sz w:val="24"/>
              </w:rPr>
              <w:t>ml</w:t>
            </w:r>
            <w:r>
              <w:rPr>
                <w:rFonts w:ascii="Times New Roman" w:hAnsi="Times New Roman" w:eastAsia="方正仿宋_GBK" w:cs="Times New Roman"/>
                <w:sz w:val="24"/>
              </w:rPr>
              <w:t>/</w:t>
            </w:r>
            <w:r>
              <w:rPr>
                <w:rFonts w:hint="eastAsia" w:ascii="Times New Roman" w:hAnsi="Times New Roman" w:eastAsia="方正仿宋_GBK" w:cs="Times New Roman"/>
                <w:sz w:val="24"/>
              </w:rPr>
              <w:t>支</w:t>
            </w:r>
          </w:p>
        </w:tc>
        <w:tc>
          <w:tcPr>
            <w:tcW w:w="4229" w:type="dxa"/>
            <w:vAlign w:val="center"/>
          </w:tcPr>
          <w:p>
            <w:pPr>
              <w:spacing w:line="260" w:lineRule="exact"/>
              <w:jc w:val="left"/>
              <w:rPr>
                <w:rFonts w:hint="eastAsia" w:ascii="Times New Roman" w:hAnsi="Times New Roman" w:eastAsia="方正仿宋_GBK" w:cs="Times New Roman"/>
                <w:sz w:val="24"/>
              </w:rPr>
            </w:pPr>
            <w:r>
              <w:rPr>
                <w:rFonts w:hint="eastAsia" w:ascii="Times New Roman" w:hAnsi="Times New Roman" w:eastAsia="方正仿宋_GBK" w:cs="Times New Roman"/>
                <w:sz w:val="24"/>
              </w:rPr>
              <w:t>HBsAg 0.2IU/ml+抗HCV 0.</w:t>
            </w:r>
            <w:r>
              <w:rPr>
                <w:rFonts w:ascii="Times New Roman" w:hAnsi="Times New Roman" w:eastAsia="方正仿宋_GBK" w:cs="Times New Roman"/>
                <w:sz w:val="24"/>
              </w:rPr>
              <w:t>5</w:t>
            </w:r>
            <w:r>
              <w:rPr>
                <w:rFonts w:hint="eastAsia" w:ascii="Times New Roman" w:hAnsi="Times New Roman" w:eastAsia="方正仿宋_GBK" w:cs="Times New Roman"/>
                <w:sz w:val="24"/>
              </w:rPr>
              <w:t xml:space="preserve">NCU/ml+抗HIV-I 0.5NCU/ml+抗TP </w:t>
            </w:r>
            <w:r>
              <w:rPr>
                <w:rFonts w:ascii="Times New Roman" w:hAnsi="Times New Roman" w:eastAsia="方正仿宋_GBK" w:cs="Times New Roman"/>
                <w:sz w:val="24"/>
              </w:rPr>
              <w:t>6</w:t>
            </w:r>
            <w:r>
              <w:rPr>
                <w:rFonts w:hint="eastAsia" w:ascii="Times New Roman" w:hAnsi="Times New Roman" w:eastAsia="方正仿宋_GBK" w:cs="Times New Roman"/>
                <w:sz w:val="24"/>
              </w:rPr>
              <w:t>mIU/ml标准物质</w:t>
            </w:r>
            <w:r>
              <w:rPr>
                <w:rFonts w:ascii="Times New Roman" w:hAnsi="Times New Roman" w:eastAsia="方正仿宋_GBK" w:cs="Times New Roman"/>
                <w:sz w:val="24"/>
              </w:rPr>
              <w:t>，</w:t>
            </w:r>
            <w:r>
              <w:rPr>
                <w:rFonts w:hint="eastAsia" w:ascii="Times New Roman" w:hAnsi="Times New Roman" w:eastAsia="方正仿宋_GBK" w:cs="Times New Roman"/>
                <w:sz w:val="24"/>
              </w:rPr>
              <w:t>液体，适用于血站在用的酶免分析仪和其他配套设备，可直接使用，无需稀释，安全快捷。-15℃以下有效期不少于两年。采用不少于3家厂商试剂进行检测，量值可溯源至WHO标准物质或卫生部临检中心国家一级标准物质，具有良好的稳定性和均一性。产品需要对应取得国家质量监督检验检疫总局所颁发的《国家标准物质定级证书》。</w:t>
            </w:r>
          </w:p>
          <w:p>
            <w:pPr>
              <w:spacing w:line="260" w:lineRule="exact"/>
              <w:jc w:val="left"/>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rPr>
              <w:t>预计年采购量：</w:t>
            </w:r>
            <w:r>
              <w:rPr>
                <w:rFonts w:hint="eastAsia" w:ascii="Times New Roman" w:hAnsi="Times New Roman" w:eastAsia="方正仿宋_GBK" w:cs="Times New Roman"/>
                <w:sz w:val="24"/>
                <w:lang w:val="en-US" w:eastAsia="zh-CN"/>
              </w:rPr>
              <w:t>150支。</w:t>
            </w:r>
          </w:p>
        </w:tc>
        <w:tc>
          <w:tcPr>
            <w:tcW w:w="1237"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230元/支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血筛四项血清（液体）标准物质-复检</w:t>
            </w:r>
          </w:p>
        </w:tc>
        <w:tc>
          <w:tcPr>
            <w:tcW w:w="1161" w:type="dxa"/>
            <w:vAlign w:val="center"/>
          </w:tcPr>
          <w:p>
            <w:pPr>
              <w:spacing w:line="2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r>
              <w:rPr>
                <w:rFonts w:hint="eastAsia" w:ascii="Times New Roman" w:hAnsi="Times New Roman" w:eastAsia="方正仿宋_GBK" w:cs="Times New Roman"/>
                <w:sz w:val="24"/>
              </w:rPr>
              <w:t>ml</w:t>
            </w:r>
            <w:r>
              <w:rPr>
                <w:rFonts w:ascii="Times New Roman" w:hAnsi="Times New Roman" w:eastAsia="方正仿宋_GBK" w:cs="Times New Roman"/>
                <w:sz w:val="24"/>
              </w:rPr>
              <w:t>/</w:t>
            </w:r>
            <w:r>
              <w:rPr>
                <w:rFonts w:hint="eastAsia" w:ascii="Times New Roman" w:hAnsi="Times New Roman" w:eastAsia="方正仿宋_GBK" w:cs="Times New Roman"/>
                <w:sz w:val="24"/>
              </w:rPr>
              <w:t>支</w:t>
            </w:r>
          </w:p>
        </w:tc>
        <w:tc>
          <w:tcPr>
            <w:tcW w:w="4229" w:type="dxa"/>
            <w:vAlign w:val="center"/>
          </w:tcPr>
          <w:p>
            <w:pPr>
              <w:spacing w:line="260" w:lineRule="exact"/>
              <w:jc w:val="left"/>
              <w:rPr>
                <w:rFonts w:hint="eastAsia" w:ascii="Times New Roman" w:hAnsi="Times New Roman" w:eastAsia="方正仿宋_GBK" w:cs="Times New Roman"/>
                <w:sz w:val="24"/>
              </w:rPr>
            </w:pPr>
            <w:r>
              <w:rPr>
                <w:rFonts w:hint="eastAsia" w:ascii="Times New Roman" w:hAnsi="Times New Roman" w:eastAsia="方正仿宋_GBK" w:cs="Times New Roman"/>
                <w:sz w:val="24"/>
              </w:rPr>
              <w:t>HBsAg0.2IU/ml+抗HCV0.2NCU/ml+抗HIV-10.5NCU/ml+抗TP3mIU/ml，标准物质</w:t>
            </w:r>
            <w:r>
              <w:rPr>
                <w:rFonts w:ascii="Times New Roman" w:hAnsi="Times New Roman" w:eastAsia="方正仿宋_GBK" w:cs="Times New Roman"/>
                <w:sz w:val="24"/>
              </w:rPr>
              <w:t>，</w:t>
            </w:r>
            <w:r>
              <w:rPr>
                <w:rFonts w:hint="eastAsia" w:ascii="Times New Roman" w:hAnsi="Times New Roman" w:eastAsia="方正仿宋_GBK" w:cs="Times New Roman"/>
                <w:sz w:val="24"/>
              </w:rPr>
              <w:t>液体，适用于血站在用的酶免分析仪和其他配套设备，可直接使用，无需稀释，安全快捷。-15℃以下有效期不少于两年。采用不少于3家厂商试剂进行检测，量值可溯源至WHO标准物质或卫生部临检中心国家一级标准物质，具有良好的稳定性和均一性。产品需要对应取得国家质量监督检验检疫总局所颁发的《国家标准物质定级证书》。</w:t>
            </w:r>
          </w:p>
          <w:p>
            <w:pPr>
              <w:spacing w:line="260" w:lineRule="exact"/>
              <w:jc w:val="left"/>
              <w:rPr>
                <w:rFonts w:ascii="Times New Roman" w:hAnsi="Times New Roman" w:eastAsia="方正仿宋_GBK" w:cs="Times New Roman"/>
                <w:sz w:val="24"/>
              </w:rPr>
            </w:pPr>
            <w:r>
              <w:rPr>
                <w:rFonts w:hint="eastAsia" w:ascii="Times New Roman" w:hAnsi="Times New Roman" w:eastAsia="方正仿宋_GBK" w:cs="Times New Roman"/>
                <w:sz w:val="24"/>
              </w:rPr>
              <w:t>预计年采购量：</w:t>
            </w:r>
            <w:r>
              <w:rPr>
                <w:rFonts w:hint="eastAsia" w:ascii="Times New Roman" w:hAnsi="Times New Roman" w:eastAsia="方正仿宋_GBK" w:cs="Times New Roman"/>
                <w:sz w:val="24"/>
                <w:lang w:val="en-US" w:eastAsia="zh-CN"/>
              </w:rPr>
              <w:t>150支。</w:t>
            </w:r>
          </w:p>
        </w:tc>
        <w:tc>
          <w:tcPr>
            <w:tcW w:w="1237"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230元/支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HBV DNA/HCV RNA/HIV-1 RNA系统性能验证盘</w:t>
            </w:r>
          </w:p>
        </w:tc>
        <w:tc>
          <w:tcPr>
            <w:tcW w:w="1161" w:type="dxa"/>
            <w:vAlign w:val="center"/>
          </w:tcPr>
          <w:p>
            <w:pPr>
              <w:spacing w:line="2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216</w:t>
            </w:r>
            <w:r>
              <w:rPr>
                <w:rFonts w:hint="eastAsia" w:ascii="Times New Roman" w:hAnsi="Times New Roman" w:eastAsia="方正仿宋_GBK" w:cs="Times New Roman"/>
                <w:sz w:val="24"/>
              </w:rPr>
              <w:t>份</w:t>
            </w:r>
            <w:r>
              <w:rPr>
                <w:rFonts w:ascii="Times New Roman" w:hAnsi="Times New Roman" w:eastAsia="方正仿宋_GBK" w:cs="Times New Roman"/>
                <w:sz w:val="24"/>
              </w:rPr>
              <w:t>/套</w:t>
            </w:r>
          </w:p>
        </w:tc>
        <w:tc>
          <w:tcPr>
            <w:tcW w:w="4229" w:type="dxa"/>
            <w:vAlign w:val="center"/>
          </w:tcPr>
          <w:p>
            <w:pPr>
              <w:spacing w:line="260" w:lineRule="exact"/>
              <w:jc w:val="left"/>
              <w:rPr>
                <w:rFonts w:hint="eastAsia" w:ascii="Times New Roman" w:hAnsi="Times New Roman" w:eastAsia="方正仿宋_GBK" w:cs="Times New Roman"/>
                <w:sz w:val="24"/>
              </w:rPr>
            </w:pPr>
            <w:r>
              <w:rPr>
                <w:rFonts w:hint="eastAsia" w:ascii="Times New Roman" w:hAnsi="Times New Roman" w:eastAsia="方正仿宋_GBK" w:cs="Times New Roman"/>
                <w:sz w:val="24"/>
              </w:rPr>
              <w:t>HBV DNA、HCV RNA、HIV-1 RNA项目，涵盖高、中、低不同浓度样本，适用于血站在用的核酸检测系统和其他配套设备，-</w:t>
            </w:r>
            <w:r>
              <w:rPr>
                <w:rFonts w:ascii="Times New Roman" w:hAnsi="Times New Roman" w:eastAsia="方正仿宋_GBK" w:cs="Times New Roman"/>
                <w:sz w:val="24"/>
              </w:rPr>
              <w:t>70</w:t>
            </w:r>
            <w:r>
              <w:rPr>
                <w:rFonts w:hint="eastAsia" w:ascii="Times New Roman" w:hAnsi="Times New Roman" w:eastAsia="方正仿宋_GBK" w:cs="Times New Roman"/>
                <w:sz w:val="24"/>
              </w:rPr>
              <w:t>℃以下有效期不少于两年。要求所有标本保存在5ml样品管中，且贴有不重复条码，可直接使用，无需稀释，安全快捷。</w:t>
            </w:r>
          </w:p>
          <w:p>
            <w:pPr>
              <w:spacing w:line="260" w:lineRule="exact"/>
              <w:jc w:val="left"/>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rPr>
              <w:t>预计年采购量：</w:t>
            </w:r>
            <w:r>
              <w:rPr>
                <w:rFonts w:hint="eastAsia" w:ascii="Times New Roman" w:hAnsi="Times New Roman" w:eastAsia="方正仿宋_GBK" w:cs="Times New Roman"/>
                <w:sz w:val="24"/>
                <w:lang w:val="en-US" w:eastAsia="zh-CN"/>
              </w:rPr>
              <w:t>1套。</w:t>
            </w:r>
          </w:p>
        </w:tc>
        <w:tc>
          <w:tcPr>
            <w:tcW w:w="1237"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260</w:t>
            </w:r>
            <w:r>
              <w:rPr>
                <w:rFonts w:hint="eastAsia" w:ascii="Times New Roman" w:hAnsi="Times New Roman" w:eastAsia="方正仿宋_GBK" w:cs="Times New Roman"/>
                <w:sz w:val="24"/>
                <w:lang w:val="en-US" w:eastAsia="zh-CN"/>
              </w:rPr>
              <w:t>0</w:t>
            </w:r>
            <w:r>
              <w:rPr>
                <w:rFonts w:hint="eastAsia" w:ascii="Times New Roman" w:hAnsi="Times New Roman" w:eastAsia="方正仿宋_GBK" w:cs="Times New Roman"/>
                <w:sz w:val="24"/>
              </w:rPr>
              <w:t>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乙型肝炎病毒核酸（HBV DNA）系列血清（液体）标准物质</w:t>
            </w:r>
          </w:p>
        </w:tc>
        <w:tc>
          <w:tcPr>
            <w:tcW w:w="1161"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1ml</w:t>
            </w:r>
            <w:r>
              <w:rPr>
                <w:rFonts w:ascii="Times New Roman" w:hAnsi="Times New Roman" w:eastAsia="方正仿宋_GBK" w:cs="Times New Roman"/>
                <w:sz w:val="24"/>
              </w:rPr>
              <w:t>/</w:t>
            </w:r>
            <w:r>
              <w:rPr>
                <w:rFonts w:hint="eastAsia" w:ascii="Times New Roman" w:hAnsi="Times New Roman" w:eastAsia="方正仿宋_GBK" w:cs="Times New Roman"/>
                <w:sz w:val="24"/>
              </w:rPr>
              <w:t>支</w:t>
            </w:r>
          </w:p>
        </w:tc>
        <w:tc>
          <w:tcPr>
            <w:tcW w:w="4229" w:type="dxa"/>
            <w:vAlign w:val="center"/>
          </w:tcPr>
          <w:p>
            <w:pPr>
              <w:spacing w:line="260" w:lineRule="exact"/>
              <w:jc w:val="left"/>
              <w:rPr>
                <w:rFonts w:hint="eastAsia" w:ascii="Times New Roman" w:hAnsi="Times New Roman" w:eastAsia="方正仿宋_GBK" w:cs="Times New Roman"/>
                <w:sz w:val="24"/>
              </w:rPr>
            </w:pPr>
            <w:r>
              <w:rPr>
                <w:rFonts w:hint="eastAsia" w:ascii="Times New Roman" w:hAnsi="Times New Roman" w:eastAsia="方正仿宋_GBK" w:cs="Times New Roman"/>
                <w:sz w:val="24"/>
              </w:rPr>
              <w:t>HBV DNA标准物质，50 IU/ml，液体，可直接使用，无需稀释，安全快捷。适用于血站在用的核酸检测系统和其他配套设备，-15℃以下有效期不少于两年。采用不少于4家厂商试剂进行检测，量值可溯源至WHO标准物质或卫生部临检中心国家一级标准物质，具有良好的稳定性和均一性。产品需要对应取得国家质量监督检验检疫总局所颁发的《国家标准物质定级证书》。</w:t>
            </w:r>
          </w:p>
          <w:p>
            <w:pPr>
              <w:spacing w:line="260" w:lineRule="exact"/>
              <w:jc w:val="left"/>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rPr>
              <w:t>预计年采购量：</w:t>
            </w:r>
            <w:r>
              <w:rPr>
                <w:rFonts w:hint="eastAsia" w:ascii="Times New Roman" w:hAnsi="Times New Roman" w:eastAsia="方正仿宋_GBK" w:cs="Times New Roman"/>
                <w:sz w:val="24"/>
                <w:lang w:val="en-US" w:eastAsia="zh-CN"/>
              </w:rPr>
              <w:t>80支。</w:t>
            </w:r>
          </w:p>
        </w:tc>
        <w:tc>
          <w:tcPr>
            <w:tcW w:w="1237"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100元/支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丙型肝炎病毒核酸（HCV RNA）系列血清（液体）标准物质</w:t>
            </w:r>
          </w:p>
        </w:tc>
        <w:tc>
          <w:tcPr>
            <w:tcW w:w="1161"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1ml</w:t>
            </w:r>
            <w:r>
              <w:rPr>
                <w:rFonts w:ascii="Times New Roman" w:hAnsi="Times New Roman" w:eastAsia="方正仿宋_GBK" w:cs="Times New Roman"/>
                <w:sz w:val="24"/>
              </w:rPr>
              <w:t>/</w:t>
            </w:r>
            <w:r>
              <w:rPr>
                <w:rFonts w:hint="eastAsia" w:ascii="Times New Roman" w:hAnsi="Times New Roman" w:eastAsia="方正仿宋_GBK" w:cs="Times New Roman"/>
                <w:sz w:val="24"/>
              </w:rPr>
              <w:t>支</w:t>
            </w:r>
          </w:p>
        </w:tc>
        <w:tc>
          <w:tcPr>
            <w:tcW w:w="4229" w:type="dxa"/>
            <w:vAlign w:val="center"/>
          </w:tcPr>
          <w:p>
            <w:pPr>
              <w:spacing w:line="260" w:lineRule="exact"/>
              <w:jc w:val="left"/>
              <w:rPr>
                <w:rFonts w:hint="eastAsia" w:ascii="Times New Roman" w:hAnsi="Times New Roman" w:eastAsia="方正仿宋_GBK" w:cs="Times New Roman"/>
                <w:sz w:val="24"/>
              </w:rPr>
            </w:pPr>
            <w:r>
              <w:rPr>
                <w:rFonts w:hint="eastAsia" w:ascii="Times New Roman" w:hAnsi="Times New Roman" w:eastAsia="方正仿宋_GBK" w:cs="Times New Roman"/>
                <w:sz w:val="24"/>
              </w:rPr>
              <w:t>HCV RNA标准物质</w:t>
            </w:r>
            <w:r>
              <w:rPr>
                <w:rFonts w:ascii="Times New Roman" w:hAnsi="Times New Roman" w:eastAsia="方正仿宋_GBK" w:cs="Times New Roman"/>
                <w:sz w:val="24"/>
              </w:rPr>
              <w:t>，</w:t>
            </w:r>
            <w:r>
              <w:rPr>
                <w:rFonts w:hint="eastAsia" w:ascii="Times New Roman" w:hAnsi="Times New Roman" w:eastAsia="方正仿宋_GBK" w:cs="Times New Roman"/>
                <w:sz w:val="24"/>
              </w:rPr>
              <w:t xml:space="preserve">50 </w:t>
            </w:r>
            <w:r>
              <w:rPr>
                <w:rFonts w:ascii="Times New Roman" w:hAnsi="Times New Roman" w:eastAsia="方正仿宋_GBK" w:cs="Times New Roman"/>
                <w:sz w:val="24"/>
              </w:rPr>
              <w:t>IU/</w:t>
            </w:r>
            <w:r>
              <w:rPr>
                <w:rFonts w:hint="eastAsia" w:ascii="Times New Roman" w:hAnsi="Times New Roman" w:eastAsia="方正仿宋_GBK" w:cs="Times New Roman"/>
                <w:sz w:val="24"/>
              </w:rPr>
              <w:t>ml</w:t>
            </w:r>
            <w:r>
              <w:rPr>
                <w:rFonts w:ascii="Times New Roman" w:hAnsi="Times New Roman" w:eastAsia="方正仿宋_GBK" w:cs="Times New Roman"/>
                <w:sz w:val="24"/>
              </w:rPr>
              <w:t>，</w:t>
            </w:r>
            <w:r>
              <w:rPr>
                <w:rFonts w:hint="eastAsia" w:ascii="Times New Roman" w:hAnsi="Times New Roman" w:eastAsia="方正仿宋_GBK" w:cs="Times New Roman"/>
                <w:sz w:val="24"/>
              </w:rPr>
              <w:t>液体，可直接使用，无需稀释，安全快捷。适用于血站在用的核酸检测系统和其他配套设备，-15℃以下有效期不少于两年。采用不少于4家厂商试剂进行检测，量值可溯源至WHO标准物质或卫生部临检中心国家一级标准物质，具有良好的稳定性和均一性。产品需要对应取得国家质量监督检验检疫总局所颁发的《国家标准物质定级证书》。</w:t>
            </w:r>
          </w:p>
          <w:p>
            <w:pPr>
              <w:spacing w:line="260" w:lineRule="exact"/>
              <w:jc w:val="left"/>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rPr>
              <w:t>预计年采购量：</w:t>
            </w:r>
            <w:r>
              <w:rPr>
                <w:rFonts w:hint="eastAsia" w:ascii="Times New Roman" w:hAnsi="Times New Roman" w:eastAsia="方正仿宋_GBK" w:cs="Times New Roman"/>
                <w:sz w:val="24"/>
                <w:lang w:val="en-US" w:eastAsia="zh-CN"/>
              </w:rPr>
              <w:t>80支。</w:t>
            </w:r>
          </w:p>
        </w:tc>
        <w:tc>
          <w:tcPr>
            <w:tcW w:w="1237"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100元/支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人类免疫缺陷病毒核酸（HIV-1 RNA）系列血清（液体）标准物质</w:t>
            </w:r>
          </w:p>
        </w:tc>
        <w:tc>
          <w:tcPr>
            <w:tcW w:w="1161"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1ml</w:t>
            </w:r>
            <w:r>
              <w:rPr>
                <w:rFonts w:ascii="Times New Roman" w:hAnsi="Times New Roman" w:eastAsia="方正仿宋_GBK" w:cs="Times New Roman"/>
                <w:sz w:val="24"/>
              </w:rPr>
              <w:t>/</w:t>
            </w:r>
            <w:r>
              <w:rPr>
                <w:rFonts w:hint="eastAsia" w:ascii="Times New Roman" w:hAnsi="Times New Roman" w:eastAsia="方正仿宋_GBK" w:cs="Times New Roman"/>
                <w:sz w:val="24"/>
              </w:rPr>
              <w:t>支</w:t>
            </w:r>
          </w:p>
        </w:tc>
        <w:tc>
          <w:tcPr>
            <w:tcW w:w="4229" w:type="dxa"/>
            <w:vAlign w:val="center"/>
          </w:tcPr>
          <w:p>
            <w:pPr>
              <w:spacing w:line="260" w:lineRule="exact"/>
              <w:jc w:val="left"/>
              <w:rPr>
                <w:rFonts w:hint="eastAsia" w:ascii="Times New Roman" w:hAnsi="Times New Roman" w:eastAsia="方正仿宋_GBK" w:cs="Times New Roman"/>
                <w:sz w:val="24"/>
              </w:rPr>
            </w:pPr>
            <w:r>
              <w:rPr>
                <w:rFonts w:hint="eastAsia" w:ascii="Times New Roman" w:hAnsi="Times New Roman" w:eastAsia="方正仿宋_GBK" w:cs="Times New Roman"/>
                <w:sz w:val="24"/>
              </w:rPr>
              <w:t>HIV-1 RNA标准物质</w:t>
            </w:r>
            <w:r>
              <w:rPr>
                <w:rFonts w:ascii="Times New Roman" w:hAnsi="Times New Roman" w:eastAsia="方正仿宋_GBK" w:cs="Times New Roman"/>
                <w:sz w:val="24"/>
              </w:rPr>
              <w:t>，</w:t>
            </w:r>
            <w:r>
              <w:rPr>
                <w:rFonts w:hint="eastAsia" w:ascii="Times New Roman" w:hAnsi="Times New Roman" w:eastAsia="方正仿宋_GBK" w:cs="Times New Roman"/>
                <w:sz w:val="24"/>
              </w:rPr>
              <w:t>2</w:t>
            </w:r>
            <w:r>
              <w:rPr>
                <w:rFonts w:ascii="Times New Roman" w:hAnsi="Times New Roman" w:eastAsia="方正仿宋_GBK" w:cs="Times New Roman"/>
                <w:sz w:val="24"/>
              </w:rPr>
              <w:t>00</w:t>
            </w:r>
            <w:r>
              <w:rPr>
                <w:rFonts w:hint="eastAsia" w:ascii="Times New Roman" w:hAnsi="Times New Roman" w:eastAsia="方正仿宋_GBK" w:cs="Times New Roman"/>
                <w:sz w:val="24"/>
              </w:rPr>
              <w:t xml:space="preserve"> </w:t>
            </w:r>
            <w:r>
              <w:rPr>
                <w:rFonts w:ascii="Times New Roman" w:hAnsi="Times New Roman" w:eastAsia="方正仿宋_GBK" w:cs="Times New Roman"/>
                <w:sz w:val="24"/>
              </w:rPr>
              <w:t>IU/</w:t>
            </w:r>
            <w:r>
              <w:rPr>
                <w:rFonts w:hint="eastAsia" w:ascii="Times New Roman" w:hAnsi="Times New Roman" w:eastAsia="方正仿宋_GBK" w:cs="Times New Roman"/>
                <w:sz w:val="24"/>
              </w:rPr>
              <w:t>ml</w:t>
            </w:r>
            <w:r>
              <w:rPr>
                <w:rFonts w:ascii="Times New Roman" w:hAnsi="Times New Roman" w:eastAsia="方正仿宋_GBK" w:cs="Times New Roman"/>
                <w:sz w:val="24"/>
              </w:rPr>
              <w:t>，</w:t>
            </w:r>
            <w:r>
              <w:rPr>
                <w:rFonts w:hint="eastAsia" w:ascii="Times New Roman" w:hAnsi="Times New Roman" w:eastAsia="方正仿宋_GBK" w:cs="Times New Roman"/>
                <w:sz w:val="24"/>
              </w:rPr>
              <w:t>液体，可直接使用，无需稀释，安全快捷。适用于血站在用的核酸检测系统和其他配套设备，-15℃以下有效期不少于两年。采用不少于4家厂商试剂进行检测，量值可溯源至WHO标准物质或卫生部临检中心国家一级标准物质，具有良好的稳定性和均一性。产品需要对应取得国家质量监督检验检疫总局所颁发的《国家标准物质定级证书》。</w:t>
            </w:r>
          </w:p>
          <w:p>
            <w:pPr>
              <w:spacing w:line="260" w:lineRule="exact"/>
              <w:jc w:val="left"/>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rPr>
              <w:t>预计年采购量：</w:t>
            </w:r>
            <w:r>
              <w:rPr>
                <w:rFonts w:hint="eastAsia" w:ascii="Times New Roman" w:hAnsi="Times New Roman" w:eastAsia="方正仿宋_GBK" w:cs="Times New Roman"/>
                <w:sz w:val="24"/>
                <w:lang w:val="en-US" w:eastAsia="zh-CN"/>
              </w:rPr>
              <w:t>80支。</w:t>
            </w:r>
          </w:p>
        </w:tc>
        <w:tc>
          <w:tcPr>
            <w:tcW w:w="1237"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100元/支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HBV DNA/HCV RNA/HIV-1 RNA标准物质</w:t>
            </w:r>
          </w:p>
        </w:tc>
        <w:tc>
          <w:tcPr>
            <w:tcW w:w="1161" w:type="dxa"/>
            <w:vAlign w:val="center"/>
          </w:tcPr>
          <w:p>
            <w:pPr>
              <w:spacing w:line="260" w:lineRule="exact"/>
              <w:jc w:val="center"/>
              <w:rPr>
                <w:rFonts w:ascii="Times New Roman" w:hAnsi="Times New Roman" w:eastAsia="方正仿宋_GBK" w:cs="Times New Roman"/>
                <w:sz w:val="24"/>
              </w:rPr>
            </w:pPr>
            <w:r>
              <w:rPr>
                <w:rFonts w:ascii="Times New Roman" w:hAnsi="Times New Roman" w:eastAsia="方正仿宋_GBK" w:cs="Times New Roman"/>
                <w:sz w:val="24"/>
              </w:rPr>
              <w:t>0.5</w:t>
            </w:r>
            <w:r>
              <w:rPr>
                <w:rFonts w:hint="eastAsia" w:ascii="Times New Roman" w:hAnsi="Times New Roman" w:eastAsia="方正仿宋_GBK" w:cs="Times New Roman"/>
                <w:sz w:val="24"/>
              </w:rPr>
              <w:t>ml</w:t>
            </w:r>
            <w:r>
              <w:rPr>
                <w:rFonts w:ascii="Times New Roman" w:hAnsi="Times New Roman" w:eastAsia="方正仿宋_GBK" w:cs="Times New Roman"/>
                <w:sz w:val="24"/>
              </w:rPr>
              <w:t>/</w:t>
            </w:r>
            <w:r>
              <w:rPr>
                <w:rFonts w:hint="eastAsia" w:ascii="Times New Roman" w:hAnsi="Times New Roman" w:eastAsia="方正仿宋_GBK" w:cs="Times New Roman"/>
                <w:sz w:val="24"/>
              </w:rPr>
              <w:t>支，8支/套</w:t>
            </w:r>
          </w:p>
        </w:tc>
        <w:tc>
          <w:tcPr>
            <w:tcW w:w="4229" w:type="dxa"/>
            <w:vAlign w:val="center"/>
          </w:tcPr>
          <w:p>
            <w:pPr>
              <w:spacing w:line="260" w:lineRule="exact"/>
              <w:jc w:val="left"/>
              <w:rPr>
                <w:rFonts w:hint="eastAsia" w:ascii="Times New Roman" w:hAnsi="Times New Roman" w:eastAsia="方正仿宋_GBK" w:cs="Times New Roman"/>
                <w:sz w:val="24"/>
              </w:rPr>
            </w:pPr>
            <w:r>
              <w:rPr>
                <w:rFonts w:hint="eastAsia" w:ascii="Times New Roman" w:hAnsi="Times New Roman" w:eastAsia="方正仿宋_GBK" w:cs="Times New Roman"/>
                <w:sz w:val="24"/>
              </w:rPr>
              <w:t>每套1支HBV DNA</w:t>
            </w:r>
            <w:r>
              <w:rPr>
                <w:rFonts w:ascii="Times New Roman" w:hAnsi="Times New Roman" w:eastAsia="方正仿宋_GBK" w:cs="Times New Roman"/>
                <w:sz w:val="24"/>
              </w:rPr>
              <w:t xml:space="preserve"> 200 IU/mL/ </w:t>
            </w:r>
            <w:r>
              <w:rPr>
                <w:rFonts w:hint="eastAsia" w:ascii="Times New Roman" w:hAnsi="Times New Roman" w:eastAsia="方正仿宋_GBK" w:cs="Times New Roman"/>
                <w:sz w:val="24"/>
              </w:rPr>
              <w:t>1支HCV RNA</w:t>
            </w:r>
            <w:r>
              <w:rPr>
                <w:rFonts w:ascii="Times New Roman" w:hAnsi="Times New Roman" w:eastAsia="方正仿宋_GBK" w:cs="Times New Roman"/>
                <w:sz w:val="24"/>
              </w:rPr>
              <w:t xml:space="preserve"> 1000 IU/mL/ </w:t>
            </w:r>
            <w:r>
              <w:rPr>
                <w:rFonts w:hint="eastAsia" w:ascii="Times New Roman" w:hAnsi="Times New Roman" w:eastAsia="方正仿宋_GBK" w:cs="Times New Roman"/>
                <w:sz w:val="24"/>
              </w:rPr>
              <w:t>1支HIV-1 RNA</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rPr>
              <w:t>1</w:t>
            </w:r>
            <w:r>
              <w:rPr>
                <w:rFonts w:ascii="Times New Roman" w:hAnsi="Times New Roman" w:eastAsia="方正仿宋_GBK" w:cs="Times New Roman"/>
                <w:sz w:val="24"/>
              </w:rPr>
              <w:t>000 IU/mL</w:t>
            </w:r>
            <w:r>
              <w:rPr>
                <w:rFonts w:hint="eastAsia" w:ascii="Times New Roman" w:hAnsi="Times New Roman" w:eastAsia="方正仿宋_GBK" w:cs="Times New Roman"/>
                <w:sz w:val="24"/>
              </w:rPr>
              <w:t>标准物质+5支阴性（HBV DNA、HCV RNA、HIV-1 RNA均为阴性）</w:t>
            </w:r>
            <w:r>
              <w:rPr>
                <w:rFonts w:ascii="Times New Roman" w:hAnsi="Times New Roman" w:eastAsia="方正仿宋_GBK" w:cs="Times New Roman"/>
                <w:sz w:val="24"/>
              </w:rPr>
              <w:t>，</w:t>
            </w:r>
            <w:r>
              <w:rPr>
                <w:rFonts w:hint="eastAsia" w:ascii="Times New Roman" w:hAnsi="Times New Roman" w:eastAsia="方正仿宋_GBK" w:cs="Times New Roman"/>
                <w:sz w:val="24"/>
              </w:rPr>
              <w:t>液体，可直接使用，无需稀释，安全快捷。适用于血站在用的核酸检测系统和其他配套设备，-15℃以下有效期不少于两年。标准物质采用不少于4家厂商试剂进行检测，量值可溯源至WHO标准物质或卫生部临检中心国家一级标准物质，具有良好的稳定性和均一性。产品需要对应取得国家质量监督检验检疫总局所颁发的《国家标准物质定级证书》。</w:t>
            </w:r>
          </w:p>
          <w:p>
            <w:pPr>
              <w:spacing w:line="260" w:lineRule="exact"/>
              <w:jc w:val="left"/>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rPr>
              <w:t>预计年采购量：</w:t>
            </w:r>
            <w:r>
              <w:rPr>
                <w:rFonts w:hint="eastAsia" w:ascii="Times New Roman" w:hAnsi="Times New Roman" w:eastAsia="方正仿宋_GBK" w:cs="Times New Roman"/>
                <w:sz w:val="24"/>
                <w:lang w:val="en-US" w:eastAsia="zh-CN"/>
              </w:rPr>
              <w:t>200套。</w:t>
            </w:r>
          </w:p>
        </w:tc>
        <w:tc>
          <w:tcPr>
            <w:tcW w:w="1237"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350元/套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酶免阴性质控品</w:t>
            </w:r>
          </w:p>
        </w:tc>
        <w:tc>
          <w:tcPr>
            <w:tcW w:w="1161"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0.5ml/支</w:t>
            </w:r>
          </w:p>
        </w:tc>
        <w:tc>
          <w:tcPr>
            <w:tcW w:w="4229" w:type="dxa"/>
            <w:vAlign w:val="center"/>
          </w:tcPr>
          <w:p>
            <w:pPr>
              <w:spacing w:line="260" w:lineRule="exact"/>
              <w:jc w:val="left"/>
              <w:rPr>
                <w:rFonts w:hint="eastAsia" w:ascii="Times New Roman" w:hAnsi="Times New Roman" w:eastAsia="方正仿宋_GBK" w:cs="Times New Roman"/>
                <w:sz w:val="24"/>
              </w:rPr>
            </w:pPr>
            <w:r>
              <w:rPr>
                <w:rFonts w:ascii="Times New Roman" w:hAnsi="Times New Roman" w:eastAsia="方正仿宋_GBK" w:cs="Times New Roman"/>
                <w:sz w:val="24"/>
              </w:rPr>
              <w:t>适用于目前常见厂家的酶免试剂</w:t>
            </w:r>
            <w:r>
              <w:rPr>
                <w:rFonts w:hint="eastAsia" w:ascii="Times New Roman" w:hAnsi="Times New Roman" w:eastAsia="方正仿宋_GBK" w:cs="Times New Roman"/>
                <w:sz w:val="24"/>
              </w:rPr>
              <w:t>，</w:t>
            </w:r>
            <w:r>
              <w:rPr>
                <w:rFonts w:ascii="Times New Roman" w:hAnsi="Times New Roman" w:eastAsia="方正仿宋_GBK" w:cs="Times New Roman"/>
                <w:sz w:val="24"/>
              </w:rPr>
              <w:t>HBsAg、抗HBs、HBeAg、抗HBe、抗HBc、抗HCV、抗HIV、抗TP检测均为阴性</w:t>
            </w:r>
            <w:r>
              <w:rPr>
                <w:rFonts w:hint="eastAsia" w:ascii="Times New Roman" w:hAnsi="Times New Roman" w:eastAsia="方正仿宋_GBK" w:cs="Times New Roman"/>
                <w:sz w:val="24"/>
              </w:rPr>
              <w:t>，液体，</w:t>
            </w:r>
            <w:r>
              <w:rPr>
                <w:rFonts w:ascii="Times New Roman" w:hAnsi="Times New Roman" w:eastAsia="方正仿宋_GBK" w:cs="Times New Roman"/>
                <w:sz w:val="24"/>
              </w:rPr>
              <w:t>可直接使用，无需稀释，安全快捷</w:t>
            </w:r>
            <w:r>
              <w:rPr>
                <w:rFonts w:hint="eastAsia" w:ascii="Times New Roman" w:hAnsi="Times New Roman" w:eastAsia="方正仿宋_GBK" w:cs="Times New Roman"/>
                <w:sz w:val="24"/>
              </w:rPr>
              <w:t>，</w:t>
            </w:r>
            <w:r>
              <w:rPr>
                <w:rFonts w:ascii="Times New Roman" w:hAnsi="Times New Roman" w:eastAsia="方正仿宋_GBK" w:cs="Times New Roman"/>
                <w:sz w:val="24"/>
              </w:rPr>
              <w:t>-15℃以下稳定保存2年</w:t>
            </w:r>
            <w:r>
              <w:rPr>
                <w:rFonts w:hint="eastAsia" w:ascii="Times New Roman" w:hAnsi="Times New Roman" w:eastAsia="方正仿宋_GBK" w:cs="Times New Roman"/>
                <w:sz w:val="24"/>
              </w:rPr>
              <w:t>。</w:t>
            </w:r>
          </w:p>
          <w:p>
            <w:pPr>
              <w:spacing w:line="260" w:lineRule="exact"/>
              <w:jc w:val="left"/>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rPr>
              <w:t>预计年采购量：</w:t>
            </w:r>
            <w:r>
              <w:rPr>
                <w:rFonts w:hint="eastAsia" w:ascii="Times New Roman" w:hAnsi="Times New Roman" w:eastAsia="方正仿宋_GBK" w:cs="Times New Roman"/>
                <w:sz w:val="24"/>
                <w:lang w:val="en-US" w:eastAsia="zh-CN"/>
              </w:rPr>
              <w:t>400支。</w:t>
            </w:r>
          </w:p>
        </w:tc>
        <w:tc>
          <w:tcPr>
            <w:tcW w:w="1237" w:type="dxa"/>
            <w:vAlign w:val="center"/>
          </w:tcPr>
          <w:p>
            <w:pPr>
              <w:spacing w:line="2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25元/支</w:t>
            </w:r>
          </w:p>
        </w:tc>
      </w:tr>
    </w:tbl>
    <w:p>
      <w:pPr>
        <w:ind w:firstLine="562" w:firstLineChars="200"/>
        <w:rPr>
          <w:rFonts w:hint="eastAsia" w:ascii="Times New Roman" w:hAnsi="Times New Roman" w:eastAsia="方正黑体_GBK" w:cs="Times New Roman"/>
          <w:b/>
          <w:bCs/>
          <w:i/>
          <w:iCs/>
          <w:sz w:val="28"/>
          <w:szCs w:val="28"/>
          <w:u w:val="single"/>
        </w:rPr>
      </w:pPr>
      <w:r>
        <w:rPr>
          <w:rFonts w:hint="eastAsia" w:ascii="方正仿宋_GBK" w:hAnsi="方正仿宋_GBK" w:eastAsia="方正仿宋_GBK" w:cs="方正仿宋_GBK"/>
          <w:b/>
          <w:bCs/>
          <w:i/>
          <w:iCs/>
          <w:sz w:val="28"/>
          <w:szCs w:val="28"/>
          <w:u w:val="single"/>
          <w:lang w:val="en-US" w:eastAsia="zh-CN"/>
        </w:rPr>
        <w:t>注：所有技术参数必须满足，须提供满足参数的证明材料（复印件加盖公章），否则视为无效投标。</w:t>
      </w:r>
    </w:p>
    <w:p>
      <w:pPr>
        <w:ind w:firstLine="560" w:firstLineChars="200"/>
        <w:rPr>
          <w:rFonts w:ascii="Times New Roman" w:hAnsi="Times New Roman" w:eastAsia="方正黑体_GBK" w:cs="Times New Roman"/>
          <w:sz w:val="28"/>
          <w:szCs w:val="28"/>
        </w:rPr>
      </w:pPr>
      <w:r>
        <w:rPr>
          <w:rFonts w:hint="eastAsia" w:ascii="Times New Roman" w:hAnsi="Times New Roman" w:eastAsia="方正黑体_GBK" w:cs="Times New Roman"/>
          <w:sz w:val="28"/>
          <w:szCs w:val="28"/>
        </w:rPr>
        <w:t>二</w:t>
      </w:r>
      <w:r>
        <w:rPr>
          <w:rFonts w:ascii="Times New Roman" w:hAnsi="Times New Roman" w:eastAsia="方正黑体_GBK" w:cs="Times New Roman"/>
          <w:sz w:val="28"/>
          <w:szCs w:val="28"/>
        </w:rPr>
        <w:t>、投标人资格要求：</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1、满足《中华人民共和国政府采购法》第二十二条规定，并提供下列材料：</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1.1 投标函(原件)</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 xml:space="preserve"> 若法定代表人参加投标的，须提供本人身份证复印件(原件备查)；若授权代表参加的，须提供《法人授权书》原件和授权代表身份证复印件（原件备查）</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 xml:space="preserve"> 营业执照副本或民办非企业单位登记证书或事业单位法人证书等相关身份证明材料 (复印件加盖投标人公章)</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 xml:space="preserve"> 投标人参加本次政府采购活动前3年内在经营活动中没有重大违法记录的书面声明（原件）</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5</w:t>
      </w:r>
      <w:r>
        <w:rPr>
          <w:rFonts w:ascii="Times New Roman" w:hAnsi="Times New Roman" w:eastAsia="方正仿宋_GBK" w:cs="Times New Roman"/>
          <w:sz w:val="28"/>
          <w:szCs w:val="28"/>
        </w:rPr>
        <w:t xml:space="preserve"> 供应商信用承诺书（原件）</w:t>
      </w:r>
    </w:p>
    <w:p>
      <w:pPr>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、本项目的特定资格要求：</w:t>
      </w:r>
    </w:p>
    <w:p>
      <w:pPr>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 xml:space="preserve">.1 </w:t>
      </w:r>
      <w:r>
        <w:rPr>
          <w:rFonts w:hint="eastAsia" w:ascii="Times New Roman" w:hAnsi="Times New Roman" w:eastAsia="方正仿宋_GBK" w:cs="Times New Roman"/>
          <w:sz w:val="28"/>
          <w:szCs w:val="28"/>
        </w:rPr>
        <w:t>若投标人为生产企业的须具有《药品生产许可证》或《医疗器械生产许可证》，投标产品如涉及标准物质或标准品，应提供国家有关部门颁发的相应证书；若投标人为经营企业的须具有《药品经营许可证》或《医疗器械经营许可证》</w:t>
      </w:r>
      <w:r>
        <w:rPr>
          <w:rFonts w:ascii="Times New Roman" w:hAnsi="Times New Roman" w:eastAsia="方正仿宋_GBK" w:cs="Times New Roman"/>
          <w:sz w:val="28"/>
          <w:szCs w:val="28"/>
        </w:rPr>
        <w:t>（复印件加盖投标人公章）；</w:t>
      </w:r>
    </w:p>
    <w:p>
      <w:pPr>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3、本项目不接受联合体投标，不接受被列入不良行为记录名单的供应商参加。</w:t>
      </w:r>
    </w:p>
    <w:p>
      <w:pPr>
        <w:ind w:firstLine="560" w:firstLineChars="200"/>
        <w:rPr>
          <w:rFonts w:ascii="Times New Roman" w:hAnsi="Times New Roman" w:eastAsia="方正黑体_GBK" w:cs="Times New Roman"/>
          <w:sz w:val="28"/>
          <w:szCs w:val="28"/>
        </w:rPr>
      </w:pPr>
      <w:r>
        <w:rPr>
          <w:rFonts w:ascii="Times New Roman" w:hAnsi="Times New Roman" w:eastAsia="方正黑体_GBK" w:cs="Times New Roman"/>
          <w:sz w:val="28"/>
          <w:szCs w:val="28"/>
        </w:rPr>
        <w:t>三、报名时间、方式：</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1、报名时间：202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12</w:t>
      </w:r>
      <w:r>
        <w:rPr>
          <w:rFonts w:ascii="Times New Roman" w:hAnsi="Times New Roman" w:eastAsia="方正仿宋_GBK" w:cs="Times New Roman"/>
          <w:sz w:val="28"/>
          <w:szCs w:val="28"/>
        </w:rPr>
        <w:t>日</w:t>
      </w:r>
      <w:r>
        <w:rPr>
          <w:rFonts w:hint="eastAsia" w:ascii="Times New Roman" w:hAnsi="Times New Roman" w:eastAsia="方正仿宋_GBK" w:cs="Times New Roman"/>
          <w:sz w:val="28"/>
          <w:szCs w:val="28"/>
        </w:rPr>
        <w:t>上午10点</w:t>
      </w:r>
      <w:r>
        <w:rPr>
          <w:rFonts w:hint="eastAsia" w:ascii="Times New Roman" w:hAnsi="Times New Roman" w:eastAsia="方正仿宋_GBK" w:cs="Times New Roman"/>
          <w:sz w:val="28"/>
          <w:szCs w:val="28"/>
          <w:lang w:val="en-US" w:eastAsia="zh-CN"/>
        </w:rPr>
        <w:t>前</w:t>
      </w:r>
      <w:r>
        <w:rPr>
          <w:rFonts w:ascii="Times New Roman" w:hAnsi="Times New Roman" w:eastAsia="方正仿宋_GBK" w:cs="Times New Roman"/>
          <w:sz w:val="28"/>
          <w:szCs w:val="28"/>
        </w:rPr>
        <w:t>；</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2、报名方式：有意参加投标的供应商请将投标文书</w:t>
      </w:r>
      <w:r>
        <w:rPr>
          <w:rFonts w:hint="eastAsia" w:ascii="Times New Roman" w:hAnsi="Times New Roman" w:eastAsia="方正仿宋_GBK" w:cs="Times New Roman"/>
          <w:sz w:val="28"/>
          <w:szCs w:val="28"/>
        </w:rPr>
        <w:t>和报价单密封并加盖公章后送（寄）</w:t>
      </w:r>
      <w:r>
        <w:rPr>
          <w:rFonts w:ascii="Times New Roman" w:hAnsi="Times New Roman" w:eastAsia="方正仿宋_GBK" w:cs="Times New Roman"/>
          <w:sz w:val="28"/>
          <w:szCs w:val="28"/>
        </w:rPr>
        <w:t>到</w:t>
      </w:r>
      <w:r>
        <w:rPr>
          <w:rFonts w:hint="eastAsia" w:ascii="Times New Roman" w:hAnsi="Times New Roman" w:eastAsia="方正仿宋_GBK" w:cs="Times New Roman"/>
          <w:sz w:val="28"/>
          <w:szCs w:val="28"/>
        </w:rPr>
        <w:t>扬州</w:t>
      </w:r>
      <w:r>
        <w:rPr>
          <w:rFonts w:ascii="Times New Roman" w:hAnsi="Times New Roman" w:eastAsia="方正仿宋_GBK" w:cs="Times New Roman"/>
          <w:sz w:val="28"/>
          <w:szCs w:val="28"/>
        </w:rPr>
        <w:t>市中心血站总务科进行项目报名。</w:t>
      </w:r>
    </w:p>
    <w:p>
      <w:pPr>
        <w:ind w:firstLine="560" w:firstLineChars="200"/>
        <w:rPr>
          <w:rFonts w:ascii="Times New Roman" w:hAnsi="Times New Roman" w:eastAsia="方正黑体_GBK" w:cs="Times New Roman"/>
          <w:sz w:val="28"/>
          <w:szCs w:val="28"/>
        </w:rPr>
      </w:pPr>
      <w:r>
        <w:rPr>
          <w:rFonts w:hint="eastAsia" w:ascii="Times New Roman" w:hAnsi="Times New Roman" w:eastAsia="方正黑体_GBK" w:cs="Times New Roman"/>
          <w:sz w:val="28"/>
          <w:szCs w:val="28"/>
        </w:rPr>
        <w:t>四</w:t>
      </w:r>
      <w:r>
        <w:rPr>
          <w:rFonts w:ascii="Times New Roman" w:hAnsi="Times New Roman" w:eastAsia="方正黑体_GBK" w:cs="Times New Roman"/>
          <w:sz w:val="28"/>
          <w:szCs w:val="28"/>
        </w:rPr>
        <w:t>、评选方法</w:t>
      </w:r>
      <w:r>
        <w:rPr>
          <w:rFonts w:hint="eastAsia" w:ascii="Times New Roman" w:hAnsi="Times New Roman" w:eastAsia="方正黑体_GBK" w:cs="Times New Roman"/>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最低价评审法。对通过资格审查的供应商的报价进行评审，选择报价最低的成为成交供应商；未通过资格审查的报名供应商视为无效响应。</w:t>
      </w:r>
    </w:p>
    <w:p>
      <w:pPr>
        <w:ind w:firstLine="560" w:firstLineChars="200"/>
        <w:rPr>
          <w:rFonts w:ascii="Times New Roman" w:hAnsi="Times New Roman" w:eastAsia="方正黑体_GBK" w:cs="Times New Roman"/>
          <w:sz w:val="28"/>
          <w:szCs w:val="28"/>
        </w:rPr>
      </w:pPr>
      <w:r>
        <w:rPr>
          <w:rFonts w:hint="eastAsia" w:ascii="Times New Roman" w:hAnsi="Times New Roman" w:eastAsia="方正黑体_GBK" w:cs="Times New Roman"/>
          <w:sz w:val="28"/>
          <w:szCs w:val="28"/>
        </w:rPr>
        <w:t>五</w:t>
      </w:r>
      <w:r>
        <w:rPr>
          <w:rFonts w:ascii="Times New Roman" w:hAnsi="Times New Roman" w:eastAsia="方正黑体_GBK" w:cs="Times New Roman"/>
          <w:sz w:val="28"/>
          <w:szCs w:val="28"/>
        </w:rPr>
        <w:t>、投标截止和开标时间</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投标截止：202</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12</w:t>
      </w:r>
      <w:r>
        <w:rPr>
          <w:rFonts w:ascii="Times New Roman" w:hAnsi="Times New Roman" w:eastAsia="方正仿宋_GBK" w:cs="Times New Roman"/>
          <w:sz w:val="28"/>
          <w:szCs w:val="28"/>
        </w:rPr>
        <w:t>日</w:t>
      </w:r>
      <w:r>
        <w:rPr>
          <w:rFonts w:hint="eastAsia" w:ascii="Times New Roman" w:hAnsi="Times New Roman" w:eastAsia="方正仿宋_GBK" w:cs="Times New Roman"/>
          <w:sz w:val="28"/>
          <w:szCs w:val="28"/>
        </w:rPr>
        <w:t>上</w:t>
      </w:r>
      <w:r>
        <w:rPr>
          <w:rFonts w:ascii="Times New Roman" w:hAnsi="Times New Roman" w:eastAsia="方正仿宋_GBK" w:cs="Times New Roman"/>
          <w:sz w:val="28"/>
          <w:szCs w:val="28"/>
        </w:rPr>
        <w:t>午</w:t>
      </w:r>
      <w:r>
        <w:rPr>
          <w:rFonts w:hint="eastAsia" w:ascii="Times New Roman" w:hAnsi="Times New Roman" w:eastAsia="方正仿宋_GBK" w:cs="Times New Roman"/>
          <w:sz w:val="28"/>
          <w:szCs w:val="28"/>
        </w:rPr>
        <w:t>10点</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开标时间：另行通知</w:t>
      </w:r>
    </w:p>
    <w:p>
      <w:pPr>
        <w:ind w:firstLine="560" w:firstLineChars="200"/>
        <w:rPr>
          <w:rFonts w:ascii="Times New Roman" w:hAnsi="Times New Roman" w:eastAsia="方正黑体_GBK" w:cs="Times New Roman"/>
          <w:sz w:val="28"/>
          <w:szCs w:val="28"/>
        </w:rPr>
      </w:pPr>
      <w:r>
        <w:rPr>
          <w:rFonts w:hint="eastAsia" w:ascii="Times New Roman" w:hAnsi="Times New Roman" w:eastAsia="方正黑体_GBK" w:cs="Times New Roman"/>
          <w:sz w:val="28"/>
          <w:szCs w:val="28"/>
        </w:rPr>
        <w:t>六</w:t>
      </w:r>
      <w:r>
        <w:rPr>
          <w:rFonts w:ascii="Times New Roman" w:hAnsi="Times New Roman" w:eastAsia="方正黑体_GBK" w:cs="Times New Roman"/>
          <w:sz w:val="28"/>
          <w:szCs w:val="28"/>
        </w:rPr>
        <w:t>、采购人联系方式</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名  称：扬州市中心血站</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地  址：扬州市邗江区玉人路11号</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联系人：殷铭</w:t>
      </w:r>
    </w:p>
    <w:p>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联系方式：13301458662 </w:t>
      </w:r>
    </w:p>
    <w:p>
      <w:pPr>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扬州市中心血站</w:t>
      </w:r>
    </w:p>
    <w:p>
      <w:pPr>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2022年</w:t>
      </w:r>
      <w:r>
        <w:rPr>
          <w:rFonts w:hint="eastAsia" w:ascii="Times New Roman" w:hAnsi="Times New Roman" w:eastAsia="方正仿宋_GBK" w:cs="Times New Roman"/>
          <w:sz w:val="28"/>
          <w:szCs w:val="28"/>
          <w:lang w:val="en-US" w:eastAsia="zh-CN"/>
        </w:rPr>
        <w:t>9</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6</w:t>
      </w:r>
      <w:r>
        <w:rPr>
          <w:rFonts w:ascii="Times New Roman" w:hAnsi="Times New Roman" w:eastAsia="方正仿宋_GBK" w:cs="Times New Roman"/>
          <w:sz w:val="28"/>
          <w:szCs w:val="28"/>
        </w:rPr>
        <w:t>日</w:t>
      </w:r>
    </w:p>
    <w:p>
      <w:pPr>
        <w:pStyle w:val="2"/>
        <w:numPr>
          <w:ilvl w:val="0"/>
          <w:numId w:val="0"/>
        </w:numPr>
        <w:jc w:val="both"/>
      </w:pPr>
      <w:bookmarkStart w:id="0" w:name="_Toc88660884"/>
      <w:r>
        <w:rPr>
          <w:rFonts w:hint="eastAsia"/>
        </w:rPr>
        <w:t>投标文件格式</w:t>
      </w:r>
      <w:bookmarkEnd w:id="0"/>
    </w:p>
    <w:p>
      <w:pPr>
        <w:jc w:val="center"/>
        <w:rPr>
          <w:rFonts w:ascii="宋体" w:hAnsi="宋体"/>
          <w:b/>
          <w:sz w:val="36"/>
        </w:rPr>
      </w:pPr>
    </w:p>
    <w:p>
      <w:pPr>
        <w:jc w:val="center"/>
        <w:rPr>
          <w:rFonts w:ascii="宋体" w:hAnsi="宋体"/>
          <w:b/>
          <w:szCs w:val="21"/>
        </w:rPr>
      </w:pPr>
    </w:p>
    <w:p>
      <w:pPr>
        <w:jc w:val="center"/>
        <w:rPr>
          <w:rFonts w:ascii="宋体" w:hAnsi="宋体"/>
          <w:b/>
          <w:sz w:val="22"/>
          <w:szCs w:val="21"/>
        </w:rPr>
      </w:pPr>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4" w:firstLineChars="300"/>
        <w:rPr>
          <w:rFonts w:ascii="宋体" w:hAnsi="宋体" w:eastAsia="宋体"/>
          <w:sz w:val="36"/>
          <w:szCs w:val="36"/>
          <w:u w:val="single"/>
        </w:rPr>
      </w:pPr>
      <w:r>
        <w:rPr>
          <w:rFonts w:hint="eastAsia" w:ascii="宋体" w:hAnsi="宋体"/>
          <w:b/>
          <w:sz w:val="36"/>
        </w:rPr>
        <w:t>项 目 名 称：</w:t>
      </w:r>
      <w:r>
        <w:rPr>
          <w:rFonts w:hint="eastAsia" w:ascii="宋体" w:hAnsi="宋体"/>
          <w:b/>
          <w:sz w:val="36"/>
          <w:u w:val="single"/>
        </w:rPr>
        <w:t xml:space="preserve">                          </w:t>
      </w:r>
    </w:p>
    <w:p>
      <w:pPr>
        <w:ind w:left="1050" w:leftChars="500"/>
        <w:rPr>
          <w:rFonts w:ascii="宋体" w:hAnsi="宋体"/>
          <w:b/>
          <w:sz w:val="36"/>
          <w:u w:val="single"/>
        </w:rPr>
      </w:pPr>
      <w:r>
        <w:rPr>
          <w:rFonts w:hint="eastAsia" w:ascii="宋体" w:hAnsi="宋体"/>
          <w:b/>
          <w:sz w:val="36"/>
        </w:rPr>
        <w:t>投标人名称 ：</w:t>
      </w:r>
      <w:r>
        <w:rPr>
          <w:rFonts w:hint="eastAsia" w:ascii="宋体" w:hAnsi="宋体"/>
          <w:b/>
          <w:sz w:val="36"/>
          <w:u w:val="single"/>
        </w:rPr>
        <w:t xml:space="preserve">                          </w:t>
      </w:r>
    </w:p>
    <w:p>
      <w:pPr>
        <w:ind w:left="1050" w:leftChars="500"/>
        <w:rPr>
          <w:rFonts w:ascii="宋体" w:hAnsi="宋体"/>
          <w:b/>
          <w:sz w:val="36"/>
        </w:rPr>
      </w:pPr>
      <w:r>
        <w:rPr>
          <w:rFonts w:hint="eastAsia" w:ascii="宋体" w:hAnsi="宋体"/>
          <w:b/>
          <w:sz w:val="36"/>
        </w:rPr>
        <w:t>日      期 ：</w:t>
      </w:r>
      <w:r>
        <w:rPr>
          <w:rFonts w:hint="eastAsia" w:ascii="宋体" w:hAnsi="宋体"/>
          <w:b/>
          <w:sz w:val="36"/>
          <w:u w:val="single"/>
        </w:rPr>
        <w:t xml:space="preserve">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3"/>
      </w:pPr>
      <w:r>
        <w:rPr>
          <w:rFonts w:hint="eastAsia"/>
        </w:rPr>
        <w:t>资信证明文件要求</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1、满足《中华人民共和国政府采购法》第二十二条规定，并提供下列材料：</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1.1 投标函(原件)</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2</w:t>
      </w:r>
      <w:r>
        <w:rPr>
          <w:rFonts w:cs="Times New Roman" w:asciiTheme="minorEastAsia" w:hAnsiTheme="minorEastAsia"/>
          <w:szCs w:val="21"/>
        </w:rPr>
        <w:t xml:space="preserve"> 若法定代表人参加投标的，须提供本人身份证复印件(原件备查)；若授权代表参加的，须提供《法人授权书》原件和授权代表身份证复印件（原件备查）</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3</w:t>
      </w:r>
      <w:r>
        <w:rPr>
          <w:rFonts w:cs="Times New Roman" w:asciiTheme="minorEastAsia" w:hAnsiTheme="minorEastAsia"/>
          <w:szCs w:val="21"/>
        </w:rPr>
        <w:t xml:space="preserve"> 营业执照副本或民办非企业单位登记证书或事业单位法人证书等相关身份证明材料 (复印件加盖投标人公章)</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4</w:t>
      </w:r>
      <w:r>
        <w:rPr>
          <w:rFonts w:cs="Times New Roman" w:asciiTheme="minorEastAsia" w:hAnsiTheme="minorEastAsia"/>
          <w:szCs w:val="21"/>
        </w:rPr>
        <w:t xml:space="preserve"> 投标人参加本次政府采购活动前3年内在经营活动中没有重大违法记录的书面声明（原件）</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5</w:t>
      </w:r>
      <w:r>
        <w:rPr>
          <w:rFonts w:cs="Times New Roman" w:asciiTheme="minorEastAsia" w:hAnsiTheme="minorEastAsia"/>
          <w:szCs w:val="21"/>
        </w:rPr>
        <w:t xml:space="preserve"> 供应商信用承诺书（原件）</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w:t>
      </w:r>
      <w:r>
        <w:rPr>
          <w:rFonts w:cs="Times New Roman" w:asciiTheme="minorEastAsia" w:hAnsiTheme="minorEastAsia"/>
          <w:szCs w:val="21"/>
        </w:rPr>
        <w:t>、本项目的特定资格要求：</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2</w:t>
      </w:r>
      <w:r>
        <w:rPr>
          <w:rFonts w:cs="Times New Roman" w:asciiTheme="minorEastAsia" w:hAnsiTheme="minorEastAsia"/>
          <w:szCs w:val="21"/>
        </w:rPr>
        <w:t xml:space="preserve">.1 </w:t>
      </w:r>
      <w:r>
        <w:rPr>
          <w:rFonts w:hint="eastAsia" w:cs="Times New Roman" w:asciiTheme="minorEastAsia" w:hAnsiTheme="minorEastAsia"/>
          <w:szCs w:val="21"/>
        </w:rPr>
        <w:t>若投标人为生产企业的须具有《药品生产许可证》或《医疗器械生产许可证》，投标产品如涉及标准物质或标准品，应提供国家有关部门颁发的相应证书；若投标人为经营企业的须具有《药品经营许可证》或《医疗器械经营许可证》（复印件加盖投标人公章）</w:t>
      </w:r>
      <w:r>
        <w:rPr>
          <w:rFonts w:cs="Times New Roman" w:asciiTheme="minorEastAsia" w:hAnsiTheme="minorEastAsia"/>
          <w:szCs w:val="21"/>
        </w:rPr>
        <w:t>；</w:t>
      </w:r>
    </w:p>
    <w:p>
      <w:pPr>
        <w:spacing w:line="360" w:lineRule="auto"/>
        <w:ind w:firstLine="420" w:firstLineChars="200"/>
        <w:rPr>
          <w:rFonts w:cs="Times New Roman" w:asciiTheme="minorEastAsia" w:hAnsiTheme="minorEastAsia"/>
          <w:szCs w:val="21"/>
        </w:rPr>
      </w:pPr>
      <w:r>
        <w:rPr>
          <w:rFonts w:hint="eastAsia" w:cs="Times New Roman" w:asciiTheme="minorEastAsia" w:hAnsiTheme="minorEastAsia"/>
          <w:szCs w:val="21"/>
        </w:rPr>
        <w:t>3、本项目不接受联合体投标，不接受被列入不良行为记录名单的供应商参加。</w:t>
      </w:r>
    </w:p>
    <w:p>
      <w:pPr>
        <w:pStyle w:val="5"/>
      </w:pPr>
      <w:r>
        <w:rPr>
          <w:rFonts w:hint="eastAsia"/>
        </w:rPr>
        <w:t>投标函格式</w:t>
      </w:r>
    </w:p>
    <w:p>
      <w:pPr>
        <w:pStyle w:val="12"/>
        <w:spacing w:before="0" w:after="0"/>
        <w:ind w:firstLine="0"/>
        <w:rPr>
          <w:rFonts w:ascii="宋体" w:hAnsi="宋体" w:eastAsia="宋体"/>
          <w:kern w:val="2"/>
          <w:sz w:val="21"/>
          <w:szCs w:val="21"/>
        </w:rPr>
      </w:pPr>
      <w:r>
        <w:rPr>
          <w:rFonts w:hint="eastAsia" w:ascii="宋体" w:hAnsi="宋体"/>
          <w:kern w:val="2"/>
          <w:sz w:val="21"/>
          <w:szCs w:val="21"/>
        </w:rPr>
        <w:t>致：扬州市中心血站</w:t>
      </w:r>
    </w:p>
    <w:p>
      <w:pPr>
        <w:pStyle w:val="12"/>
        <w:spacing w:before="0" w:after="0"/>
        <w:ind w:firstLine="420" w:firstLineChars="200"/>
        <w:rPr>
          <w:rFonts w:ascii="宋体" w:hAnsi="宋体"/>
          <w:kern w:val="2"/>
          <w:sz w:val="21"/>
          <w:szCs w:val="21"/>
        </w:rPr>
      </w:pPr>
      <w:r>
        <w:rPr>
          <w:rFonts w:hint="eastAsia" w:ascii="宋体" w:hAnsi="宋体"/>
          <w:kern w:val="2"/>
          <w:sz w:val="21"/>
          <w:szCs w:val="21"/>
        </w:rPr>
        <w:t>根据贵方的</w:t>
      </w:r>
      <w:r>
        <w:rPr>
          <w:rFonts w:hint="eastAsia" w:ascii="宋体" w:hAnsi="宋体"/>
          <w:sz w:val="21"/>
          <w:szCs w:val="21"/>
          <w:u w:val="single"/>
        </w:rPr>
        <w:t>（项目名称）</w:t>
      </w:r>
      <w:r>
        <w:rPr>
          <w:rFonts w:hint="eastAsia" w:ascii="宋体" w:hAnsi="宋体"/>
          <w:kern w:val="2"/>
          <w:sz w:val="21"/>
          <w:szCs w:val="21"/>
        </w:rPr>
        <w:t>招标文件，正式授权下述签字人_________________(姓名)代表我方______________（投标人的名称），全权处理本次项目投标的有关事宜。</w:t>
      </w:r>
    </w:p>
    <w:p>
      <w:pPr>
        <w:pStyle w:val="12"/>
        <w:spacing w:before="0" w:after="0"/>
        <w:ind w:firstLine="420" w:firstLineChars="200"/>
        <w:rPr>
          <w:rFonts w:ascii="宋体" w:hAnsi="宋体"/>
          <w:kern w:val="2"/>
          <w:sz w:val="21"/>
          <w:szCs w:val="21"/>
        </w:rPr>
      </w:pPr>
      <w:r>
        <w:rPr>
          <w:rFonts w:hint="eastAsia" w:ascii="宋体" w:hAnsi="宋体"/>
          <w:kern w:val="2"/>
          <w:sz w:val="21"/>
          <w:szCs w:val="21"/>
        </w:rPr>
        <w:t>据此函，__________签字人兹宣布同意如下：</w:t>
      </w:r>
    </w:p>
    <w:p>
      <w:pPr>
        <w:pStyle w:val="12"/>
        <w:spacing w:before="0" w:after="0"/>
        <w:ind w:firstLine="420" w:firstLineChars="200"/>
        <w:rPr>
          <w:rFonts w:ascii="宋体" w:hAnsi="宋体"/>
          <w:kern w:val="2"/>
          <w:sz w:val="21"/>
          <w:szCs w:val="21"/>
        </w:rPr>
      </w:pPr>
      <w:r>
        <w:rPr>
          <w:rFonts w:hint="eastAsia" w:ascii="宋体" w:hAnsi="宋体"/>
          <w:kern w:val="2"/>
          <w:sz w:val="21"/>
          <w:szCs w:val="21"/>
        </w:rPr>
        <w:t>1.按招标文件规定的各项要求，向买方提供所需货物与服务。</w:t>
      </w:r>
    </w:p>
    <w:p>
      <w:pPr>
        <w:pStyle w:val="12"/>
        <w:spacing w:before="0" w:after="0"/>
        <w:ind w:firstLine="420" w:firstLineChars="200"/>
        <w:rPr>
          <w:rFonts w:ascii="宋体" w:hAnsi="宋体"/>
          <w:kern w:val="2"/>
          <w:sz w:val="21"/>
          <w:szCs w:val="21"/>
        </w:rPr>
      </w:pPr>
      <w:r>
        <w:rPr>
          <w:rFonts w:hint="eastAsia" w:ascii="宋体" w:hAnsi="宋体"/>
          <w:kern w:val="2"/>
          <w:sz w:val="21"/>
          <w:szCs w:val="21"/>
        </w:rPr>
        <w:t>2.我们已详细审核全部招标文件及其有效补充文件，我们知道必须放弃提出含糊不清或误解问题的权利。</w:t>
      </w:r>
    </w:p>
    <w:p>
      <w:pPr>
        <w:pStyle w:val="12"/>
        <w:spacing w:before="0" w:after="0"/>
        <w:rPr>
          <w:rFonts w:ascii="宋体" w:hAnsi="宋体"/>
          <w:kern w:val="2"/>
          <w:sz w:val="21"/>
          <w:szCs w:val="21"/>
        </w:rPr>
      </w:pPr>
      <w:r>
        <w:rPr>
          <w:rFonts w:hint="eastAsia" w:ascii="宋体" w:hAnsi="宋体"/>
          <w:kern w:val="2"/>
          <w:sz w:val="21"/>
          <w:szCs w:val="21"/>
        </w:rPr>
        <w:t>3.我们同意从规定的开标日期起遵循本投标文件，并在规定的投标有效期期满之前均具有约束力。</w:t>
      </w:r>
    </w:p>
    <w:p>
      <w:pPr>
        <w:pStyle w:val="12"/>
        <w:spacing w:before="0" w:after="0"/>
        <w:rPr>
          <w:rFonts w:ascii="宋体" w:hAnsi="宋体"/>
          <w:kern w:val="2"/>
          <w:sz w:val="21"/>
          <w:szCs w:val="21"/>
        </w:rPr>
      </w:pPr>
      <w:r>
        <w:rPr>
          <w:rFonts w:hint="eastAsia" w:ascii="宋体" w:hAnsi="宋体"/>
          <w:kern w:val="2"/>
          <w:sz w:val="21"/>
          <w:szCs w:val="21"/>
        </w:rPr>
        <w:t>4.如果在开标后规定的投标有效期内撤回投标或中标后拒绝签订合同，我们将被列入不良行为名单。</w:t>
      </w:r>
    </w:p>
    <w:p>
      <w:pPr>
        <w:pStyle w:val="12"/>
        <w:spacing w:before="0" w:after="0"/>
        <w:rPr>
          <w:rFonts w:ascii="宋体" w:hAnsi="宋体"/>
          <w:kern w:val="2"/>
          <w:sz w:val="21"/>
          <w:szCs w:val="21"/>
        </w:rPr>
      </w:pPr>
      <w:r>
        <w:rPr>
          <w:rFonts w:hint="eastAsia" w:ascii="宋体" w:hAnsi="宋体"/>
          <w:kern w:val="2"/>
          <w:sz w:val="21"/>
          <w:szCs w:val="21"/>
        </w:rPr>
        <w:t>5.同意向贵方提供贵方可能另外要求的与投标有关的任何证据或资料，并保证我方已提供和将要提供的文件是真实的、准确的。</w:t>
      </w:r>
    </w:p>
    <w:p>
      <w:pPr>
        <w:pStyle w:val="12"/>
        <w:spacing w:before="0" w:after="0"/>
        <w:rPr>
          <w:rFonts w:ascii="宋体" w:hAnsi="宋体"/>
          <w:kern w:val="2"/>
          <w:sz w:val="21"/>
          <w:szCs w:val="21"/>
        </w:rPr>
      </w:pPr>
      <w:r>
        <w:rPr>
          <w:rFonts w:hint="eastAsia" w:ascii="宋体" w:hAnsi="宋体"/>
          <w:kern w:val="2"/>
          <w:sz w:val="21"/>
          <w:szCs w:val="21"/>
        </w:rPr>
        <w:t>6.一旦我方中标,我方将根据招标文件的规定，严格履行合同的责任和义务,并保证在招标文件规定的时间完成项目，交付买方验收、使用。</w:t>
      </w:r>
    </w:p>
    <w:p>
      <w:pPr>
        <w:pStyle w:val="12"/>
        <w:spacing w:before="0" w:after="0"/>
        <w:ind w:left="425" w:firstLine="105" w:firstLineChars="50"/>
        <w:rPr>
          <w:rFonts w:ascii="宋体" w:hAnsi="宋体"/>
          <w:kern w:val="2"/>
          <w:sz w:val="21"/>
          <w:szCs w:val="21"/>
        </w:rPr>
      </w:pPr>
      <w:r>
        <w:rPr>
          <w:rFonts w:hint="eastAsia" w:ascii="宋体" w:hAnsi="宋体"/>
          <w:kern w:val="2"/>
          <w:sz w:val="21"/>
          <w:szCs w:val="21"/>
        </w:rPr>
        <w:t>7.与本投标有关的正式通讯地址为：</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地 址：</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邮 编：</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 xml:space="preserve">电 话： </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 xml:space="preserve">传 真： </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投标人开户行：</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 xml:space="preserve">账 户： </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行 号：</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 xml:space="preserve">法定代表人或授权代表（签字）： </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 xml:space="preserve">投标人名称（公章）： </w:t>
      </w:r>
    </w:p>
    <w:p>
      <w:pPr>
        <w:pStyle w:val="12"/>
        <w:spacing w:before="0" w:after="0"/>
        <w:ind w:firstLine="478" w:firstLineChars="228"/>
        <w:rPr>
          <w:rFonts w:ascii="宋体" w:hAnsi="宋体"/>
          <w:kern w:val="2"/>
          <w:sz w:val="21"/>
          <w:szCs w:val="21"/>
        </w:rPr>
      </w:pPr>
      <w:r>
        <w:rPr>
          <w:rFonts w:hint="eastAsia" w:ascii="宋体" w:hAnsi="宋体"/>
          <w:kern w:val="2"/>
          <w:sz w:val="21"/>
          <w:szCs w:val="21"/>
        </w:rPr>
        <w:t>日 期：________年____月____日</w:t>
      </w:r>
    </w:p>
    <w:p>
      <w:pPr>
        <w:pStyle w:val="12"/>
        <w:spacing w:before="0" w:after="0"/>
        <w:ind w:firstLine="478" w:firstLineChars="228"/>
        <w:rPr>
          <w:rFonts w:ascii="宋体" w:hAnsi="宋体"/>
          <w:kern w:val="2"/>
          <w:sz w:val="21"/>
          <w:szCs w:val="21"/>
        </w:rPr>
      </w:pPr>
    </w:p>
    <w:p>
      <w:pPr>
        <w:pStyle w:val="12"/>
        <w:spacing w:before="0" w:after="0"/>
        <w:ind w:firstLine="478" w:firstLineChars="228"/>
        <w:rPr>
          <w:rFonts w:ascii="宋体" w:hAnsi="宋体"/>
          <w:kern w:val="2"/>
          <w:sz w:val="21"/>
          <w:szCs w:val="21"/>
        </w:rPr>
      </w:pPr>
    </w:p>
    <w:p>
      <w:pPr>
        <w:pStyle w:val="5"/>
      </w:pPr>
      <w:r>
        <w:rPr>
          <w:rFonts w:hint="eastAsia"/>
        </w:rPr>
        <w:t>法定代表人授权书</w:t>
      </w:r>
    </w:p>
    <w:p>
      <w:pPr>
        <w:pStyle w:val="13"/>
        <w:spacing w:line="360" w:lineRule="auto"/>
        <w:ind w:firstLine="420"/>
        <w:rPr>
          <w:rFonts w:ascii="宋体" w:hAnsi="宋体"/>
          <w:sz w:val="21"/>
          <w:szCs w:val="21"/>
          <w:u w:val="single"/>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（投标人名称）授权</w:t>
      </w:r>
      <w:r>
        <w:rPr>
          <w:rFonts w:ascii="宋体" w:hAnsi="宋体"/>
          <w:sz w:val="21"/>
          <w:szCs w:val="21"/>
        </w:rPr>
        <w:t>________________</w:t>
      </w:r>
      <w:r>
        <w:rPr>
          <w:rFonts w:hint="eastAsia" w:ascii="宋体" w:hAnsi="宋体"/>
          <w:sz w:val="21"/>
          <w:szCs w:val="21"/>
        </w:rPr>
        <w:t>（被授权人的姓名）为我方就</w:t>
      </w:r>
      <w:r>
        <w:rPr>
          <w:rFonts w:hint="eastAsia" w:ascii="宋体" w:hAnsi="宋体"/>
          <w:sz w:val="21"/>
          <w:szCs w:val="21"/>
          <w:u w:val="single"/>
        </w:rPr>
        <w:t>（项目名称）</w:t>
      </w:r>
      <w:r>
        <w:rPr>
          <w:rFonts w:hint="eastAsia" w:ascii="宋体" w:hAnsi="宋体"/>
          <w:sz w:val="21"/>
          <w:szCs w:val="21"/>
        </w:rPr>
        <w:t>采购活动的合法代理人，以本公司名义全权处理一切与该项目采购有关的事务。</w:t>
      </w:r>
    </w:p>
    <w:p>
      <w:pPr>
        <w:pStyle w:val="13"/>
        <w:spacing w:line="360" w:lineRule="auto"/>
        <w:ind w:firstLine="420"/>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pPr>
        <w:pStyle w:val="13"/>
        <w:spacing w:line="360" w:lineRule="auto"/>
        <w:ind w:firstLine="0" w:firstLineChars="0"/>
        <w:rPr>
          <w:rFonts w:ascii="宋体" w:hAnsi="宋体"/>
          <w:sz w:val="21"/>
          <w:szCs w:val="21"/>
        </w:rPr>
      </w:pPr>
      <w:r>
        <w:rPr>
          <w:rFonts w:ascii="宋体" w:hAnsi="宋体"/>
          <w:sz w:val="21"/>
          <w:szCs w:val="21"/>
        </w:rPr>
        <w:t xml:space="preserve">    </w:t>
      </w:r>
    </w:p>
    <w:p>
      <w:pPr>
        <w:pStyle w:val="13"/>
        <w:spacing w:line="360" w:lineRule="auto"/>
        <w:ind w:firstLine="420"/>
        <w:rPr>
          <w:rFonts w:ascii="宋体" w:hAnsi="宋体"/>
          <w:sz w:val="21"/>
          <w:szCs w:val="21"/>
        </w:rPr>
      </w:pPr>
      <w:r>
        <w:rPr>
          <w:rFonts w:hint="eastAsia" w:ascii="宋体" w:hAnsi="宋体"/>
          <w:sz w:val="21"/>
          <w:szCs w:val="21"/>
        </w:rPr>
        <w:t>法定代表人签字或盖章：</w:t>
      </w:r>
      <w:r>
        <w:rPr>
          <w:rFonts w:ascii="宋体" w:hAnsi="宋体"/>
          <w:sz w:val="21"/>
          <w:szCs w:val="21"/>
        </w:rPr>
        <w:t>_____________________</w:t>
      </w:r>
      <w:r>
        <w:rPr>
          <w:rFonts w:hint="eastAsia" w:ascii="宋体" w:hAnsi="宋体"/>
          <w:sz w:val="21"/>
          <w:szCs w:val="21"/>
          <w:u w:val="single"/>
        </w:rPr>
        <w:t xml:space="preserve">         </w:t>
      </w:r>
      <w:r>
        <w:rPr>
          <w:rFonts w:ascii="宋体" w:hAnsi="宋体"/>
          <w:sz w:val="21"/>
          <w:szCs w:val="21"/>
        </w:rPr>
        <w:t>__</w:t>
      </w:r>
      <w:r>
        <w:rPr>
          <w:rFonts w:hint="eastAsia" w:ascii="宋体" w:hAnsi="宋体"/>
          <w:sz w:val="21"/>
          <w:szCs w:val="21"/>
        </w:rPr>
        <w:t xml:space="preserve">     </w:t>
      </w:r>
    </w:p>
    <w:p>
      <w:pPr>
        <w:pStyle w:val="13"/>
        <w:spacing w:line="360" w:lineRule="auto"/>
        <w:ind w:firstLine="420"/>
        <w:rPr>
          <w:rFonts w:ascii="宋体" w:hAnsi="宋体"/>
          <w:sz w:val="21"/>
          <w:szCs w:val="21"/>
        </w:rPr>
      </w:pPr>
      <w:r>
        <w:rPr>
          <w:rFonts w:hint="eastAsia" w:ascii="宋体" w:hAnsi="宋体"/>
          <w:sz w:val="21"/>
          <w:szCs w:val="21"/>
        </w:rPr>
        <w:t>被授权人签字：</w:t>
      </w:r>
      <w:r>
        <w:rPr>
          <w:rFonts w:ascii="宋体" w:hAnsi="宋体"/>
          <w:sz w:val="21"/>
          <w:szCs w:val="21"/>
        </w:rPr>
        <w:t>_____________________</w:t>
      </w:r>
      <w:r>
        <w:rPr>
          <w:rFonts w:hint="eastAsia" w:ascii="宋体" w:hAnsi="宋体"/>
          <w:sz w:val="21"/>
          <w:szCs w:val="21"/>
          <w:u w:val="single"/>
        </w:rPr>
        <w:t xml:space="preserve">         </w:t>
      </w:r>
      <w:r>
        <w:rPr>
          <w:rFonts w:ascii="宋体" w:hAnsi="宋体"/>
          <w:sz w:val="21"/>
          <w:szCs w:val="21"/>
        </w:rPr>
        <w:t>__</w:t>
      </w:r>
      <w:r>
        <w:rPr>
          <w:rFonts w:hint="eastAsia" w:ascii="宋体" w:hAnsi="宋体"/>
          <w:sz w:val="21"/>
          <w:szCs w:val="21"/>
        </w:rPr>
        <w:t xml:space="preserve">     </w:t>
      </w:r>
    </w:p>
    <w:p>
      <w:pPr>
        <w:pStyle w:val="13"/>
        <w:spacing w:line="360" w:lineRule="auto"/>
        <w:ind w:firstLine="420"/>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pPr>
        <w:pStyle w:val="13"/>
        <w:spacing w:line="360" w:lineRule="auto"/>
        <w:ind w:firstLine="0" w:firstLineChars="0"/>
        <w:rPr>
          <w:rFonts w:ascii="宋体" w:hAnsi="宋体"/>
          <w:sz w:val="21"/>
          <w:szCs w:val="21"/>
        </w:rPr>
      </w:pPr>
      <w:r>
        <w:rPr>
          <w:rFonts w:ascii="宋体" w:hAnsi="宋体"/>
          <w:sz w:val="21"/>
          <w:szCs w:val="21"/>
        </w:rPr>
        <w:t xml:space="preserve">    </w:t>
      </w:r>
      <w:r>
        <w:rPr>
          <w:rFonts w:hint="eastAsia" w:ascii="宋体" w:hAnsi="宋体"/>
          <w:sz w:val="21"/>
          <w:szCs w:val="21"/>
        </w:rPr>
        <w:t>单位名称：</w:t>
      </w:r>
      <w:r>
        <w:rPr>
          <w:rFonts w:ascii="宋体" w:hAnsi="宋体"/>
          <w:sz w:val="21"/>
          <w:szCs w:val="21"/>
        </w:rPr>
        <w:t>____________________________________</w:t>
      </w:r>
    </w:p>
    <w:p>
      <w:pPr>
        <w:pStyle w:val="13"/>
        <w:spacing w:line="360" w:lineRule="auto"/>
        <w:ind w:firstLine="0" w:firstLineChars="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hint="eastAsia" w:ascii="宋体" w:hAnsi="宋体"/>
          <w:sz w:val="21"/>
          <w:szCs w:val="21"/>
        </w:rPr>
        <w:t>授权单位盖章：</w:t>
      </w:r>
      <w:r>
        <w:rPr>
          <w:rFonts w:ascii="宋体" w:hAnsi="宋体"/>
          <w:sz w:val="21"/>
          <w:szCs w:val="21"/>
        </w:rPr>
        <w:t>_________________________________</w:t>
      </w:r>
    </w:p>
    <w:p>
      <w:pPr>
        <w:pStyle w:val="13"/>
        <w:spacing w:line="360" w:lineRule="auto"/>
        <w:ind w:firstLine="420"/>
        <w:rPr>
          <w:sz w:val="21"/>
          <w:szCs w:val="21"/>
          <w:u w:val="single"/>
        </w:rPr>
      </w:pPr>
      <w:r>
        <w:rPr>
          <w:rFonts w:hint="eastAsia"/>
          <w:sz w:val="21"/>
          <w:szCs w:val="21"/>
        </w:rPr>
        <w:t>地址：</w:t>
      </w:r>
      <w:r>
        <w:rPr>
          <w:sz w:val="21"/>
          <w:szCs w:val="21"/>
          <w:u w:val="single"/>
        </w:rPr>
        <w:t xml:space="preserve">                                         </w:t>
      </w:r>
    </w:p>
    <w:p>
      <w:pPr>
        <w:pStyle w:val="13"/>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pPr>
        <w:spacing w:line="460" w:lineRule="exact"/>
        <w:ind w:firstLine="420" w:firstLineChars="200"/>
        <w:rPr>
          <w:rFonts w:ascii="宋体" w:hAnsi="宋体"/>
          <w:bCs/>
          <w:szCs w:val="21"/>
        </w:rPr>
      </w:pPr>
    </w:p>
    <w:p>
      <w:pPr>
        <w:spacing w:line="460" w:lineRule="exact"/>
        <w:ind w:firstLine="420" w:firstLineChars="200"/>
        <w:rPr>
          <w:rFonts w:ascii="宋体" w:hAnsi="宋体"/>
          <w:bCs/>
          <w:szCs w:val="21"/>
        </w:rPr>
      </w:pPr>
      <w:r>
        <w:rPr>
          <w:rFonts w:hint="eastAsia" w:ascii="宋体" w:hAnsi="宋体"/>
          <w:bCs/>
          <w:szCs w:val="21"/>
        </w:rPr>
        <w:t>被授权人身份证复印件：</w:t>
      </w: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ind w:firstLine="420" w:firstLineChars="200"/>
        <w:rPr>
          <w:rFonts w:ascii="宋体" w:hAnsi="宋体"/>
          <w:bCs/>
          <w:szCs w:val="21"/>
        </w:rPr>
      </w:pPr>
      <w:r>
        <w:rPr>
          <w:rFonts w:hint="eastAsia" w:ascii="宋体" w:hAnsi="宋体"/>
          <w:bCs/>
          <w:szCs w:val="21"/>
        </w:rPr>
        <w:t>法定代表人身份证：</w:t>
      </w:r>
    </w:p>
    <w:p>
      <w:pPr>
        <w:pStyle w:val="5"/>
      </w:pPr>
      <w:r>
        <w:rPr>
          <w:rFonts w:hint="eastAsia"/>
        </w:rPr>
        <w:t>参加本次政府采购活动前 3 年内在经营活动中没有重大违法记录的书面声明</w:t>
      </w:r>
    </w:p>
    <w:p>
      <w:pPr>
        <w:spacing w:line="360" w:lineRule="auto"/>
        <w:rPr>
          <w:rFonts w:ascii="宋体" w:hAnsi="宋体"/>
          <w:szCs w:val="21"/>
        </w:rPr>
      </w:pPr>
    </w:p>
    <w:p>
      <w:pPr>
        <w:spacing w:after="312" w:afterLines="100" w:line="360" w:lineRule="auto"/>
        <w:jc w:val="center"/>
        <w:rPr>
          <w:rFonts w:ascii="宋体" w:hAnsi="宋体"/>
          <w:b/>
          <w:bCs/>
          <w:szCs w:val="21"/>
        </w:rPr>
      </w:pPr>
      <w:r>
        <w:rPr>
          <w:rFonts w:hint="eastAsia" w:ascii="宋体" w:hAnsi="宋体"/>
          <w:b/>
          <w:bCs/>
          <w:szCs w:val="21"/>
        </w:rPr>
        <w:t>声  明</w:t>
      </w:r>
    </w:p>
    <w:p>
      <w:pPr>
        <w:spacing w:line="360" w:lineRule="auto"/>
        <w:ind w:firstLine="420" w:firstLineChars="200"/>
        <w:rPr>
          <w:rFonts w:ascii="宋体" w:hAnsi="宋体"/>
          <w:bCs/>
          <w:szCs w:val="21"/>
        </w:rPr>
      </w:pPr>
      <w:r>
        <w:rPr>
          <w:rFonts w:hint="eastAsia" w:ascii="宋体" w:hAnsi="宋体"/>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2940" w:firstLineChars="1400"/>
        <w:rPr>
          <w:rFonts w:ascii="宋体" w:hAnsi="宋体"/>
          <w:bCs/>
          <w:szCs w:val="21"/>
        </w:rPr>
      </w:pPr>
      <w:r>
        <w:rPr>
          <w:rFonts w:hint="eastAsia" w:ascii="宋体" w:hAnsi="宋体"/>
          <w:bCs/>
          <w:szCs w:val="21"/>
        </w:rPr>
        <w:t>供应商名称（公章）：</w:t>
      </w:r>
    </w:p>
    <w:p>
      <w:pPr>
        <w:spacing w:line="360" w:lineRule="auto"/>
        <w:ind w:firstLine="2940" w:firstLineChars="1400"/>
        <w:rPr>
          <w:rFonts w:ascii="宋体" w:hAnsi="宋体"/>
          <w:bCs/>
          <w:szCs w:val="21"/>
        </w:rPr>
      </w:pPr>
      <w:r>
        <w:rPr>
          <w:rFonts w:hint="eastAsia" w:ascii="宋体" w:hAnsi="宋体"/>
          <w:bCs/>
          <w:szCs w:val="21"/>
        </w:rPr>
        <w:t>法定代表人或授权代表签字：</w:t>
      </w:r>
      <w:r>
        <w:rPr>
          <w:rFonts w:hint="eastAsia" w:ascii="宋体" w:hAnsi="宋体"/>
          <w:bCs/>
          <w:szCs w:val="21"/>
          <w:u w:val="single"/>
        </w:rPr>
        <w:t>_______________________</w:t>
      </w:r>
    </w:p>
    <w:p>
      <w:pPr>
        <w:spacing w:line="360" w:lineRule="auto"/>
        <w:ind w:firstLine="2940" w:firstLineChars="1400"/>
        <w:rPr>
          <w:rFonts w:ascii="宋体" w:hAnsi="宋体"/>
          <w:bCs/>
          <w:szCs w:val="21"/>
        </w:rPr>
      </w:pPr>
      <w:r>
        <w:rPr>
          <w:rFonts w:hint="eastAsia" w:ascii="宋体" w:hAnsi="宋体"/>
          <w:bCs/>
          <w:szCs w:val="21"/>
        </w:rPr>
        <w:t>日期：</w:t>
      </w:r>
      <w:r>
        <w:rPr>
          <w:rFonts w:hint="eastAsia" w:ascii="宋体" w:hAnsi="宋体"/>
          <w:bCs/>
          <w:szCs w:val="21"/>
          <w:u w:val="single"/>
        </w:rPr>
        <w:t>______</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pStyle w:val="5"/>
        <w:rPr>
          <w:u w:val="single"/>
        </w:rPr>
      </w:pPr>
      <w:r>
        <w:rPr>
          <w:rFonts w:hint="eastAsia"/>
        </w:rPr>
        <w:t>供货承诺书（格式）</w:t>
      </w:r>
    </w:p>
    <w:p>
      <w:pPr>
        <w:jc w:val="center"/>
        <w:rPr>
          <w:rFonts w:ascii="宋体"/>
          <w:b/>
          <w:bCs/>
        </w:rPr>
      </w:pPr>
      <w:r>
        <w:rPr>
          <w:rFonts w:hint="eastAsia" w:ascii="宋体" w:hAnsi="宋体" w:cs="宋体"/>
          <w:b/>
          <w:bCs/>
        </w:rPr>
        <w:t>供货承诺书</w:t>
      </w:r>
    </w:p>
    <w:p>
      <w:pPr>
        <w:spacing w:line="360" w:lineRule="auto"/>
        <w:rPr>
          <w:rFonts w:ascii="宋体"/>
          <w:szCs w:val="21"/>
        </w:rPr>
      </w:pPr>
      <w:r>
        <w:rPr>
          <w:rFonts w:hint="eastAsia" w:ascii="宋体" w:hAnsi="宋体" w:cs="宋体"/>
          <w:szCs w:val="21"/>
        </w:rPr>
        <w:t>（供应商名称）</w:t>
      </w:r>
      <w:r>
        <w:rPr>
          <w:rFonts w:hint="eastAsia" w:ascii="宋体" w:hAnsi="宋体"/>
          <w:bCs/>
          <w:szCs w:val="21"/>
        </w:rPr>
        <w:t>_______________</w:t>
      </w:r>
      <w:r>
        <w:rPr>
          <w:rFonts w:hint="eastAsia" w:ascii="宋体" w:hAnsi="宋体" w:cs="宋体"/>
          <w:szCs w:val="21"/>
        </w:rPr>
        <w:t>在此承诺：</w:t>
      </w:r>
    </w:p>
    <w:p>
      <w:pPr>
        <w:spacing w:line="360" w:lineRule="auto"/>
        <w:ind w:firstLine="420" w:firstLineChars="200"/>
        <w:rPr>
          <w:rFonts w:ascii="宋体"/>
          <w:szCs w:val="21"/>
        </w:rPr>
      </w:pPr>
      <w:r>
        <w:rPr>
          <w:rFonts w:hint="eastAsia" w:ascii="宋体" w:hAnsi="宋体" w:cs="宋体"/>
          <w:szCs w:val="21"/>
        </w:rPr>
        <w:t>本公司（单位）</w:t>
      </w:r>
      <w:r>
        <w:rPr>
          <w:rFonts w:hint="eastAsia" w:ascii="宋体" w:hAnsi="宋体"/>
          <w:bCs/>
          <w:szCs w:val="21"/>
        </w:rPr>
        <w:t>_____________</w:t>
      </w:r>
      <w:r>
        <w:rPr>
          <w:rFonts w:hint="eastAsia" w:ascii="宋体" w:hAnsi="宋体" w:cs="宋体"/>
          <w:szCs w:val="21"/>
        </w:rPr>
        <w:t>对本项目（</w:t>
      </w:r>
      <w:r>
        <w:rPr>
          <w:rFonts w:hint="eastAsia" w:ascii="宋体" w:hAnsi="宋体"/>
          <w:bCs/>
          <w:szCs w:val="21"/>
        </w:rPr>
        <w:t>______________</w:t>
      </w:r>
      <w:r>
        <w:rPr>
          <w:rFonts w:hint="eastAsia" w:ascii="宋体" w:hAnsi="宋体" w:cs="宋体"/>
          <w:szCs w:val="21"/>
        </w:rPr>
        <w:t>）所提供的货物均为原厂全新合格品且生产日期不早于</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日。如所供之货物不符合前述承诺，本公司（单位）</w:t>
      </w:r>
      <w:r>
        <w:rPr>
          <w:rFonts w:hint="eastAsia" w:ascii="宋体" w:hAnsi="宋体"/>
          <w:bCs/>
          <w:szCs w:val="21"/>
        </w:rPr>
        <w:t>___________</w:t>
      </w:r>
      <w:r>
        <w:rPr>
          <w:rFonts w:hint="eastAsia" w:ascii="宋体" w:hAnsi="宋体" w:cs="宋体"/>
          <w:szCs w:val="21"/>
        </w:rPr>
        <w:t>将承担一切法律责任。</w:t>
      </w:r>
    </w:p>
    <w:p>
      <w:pPr>
        <w:spacing w:line="360" w:lineRule="auto"/>
        <w:ind w:firstLine="2436" w:firstLineChars="1160"/>
        <w:jc w:val="left"/>
        <w:rPr>
          <w:rFonts w:ascii="宋体"/>
          <w:szCs w:val="21"/>
        </w:rPr>
      </w:pPr>
      <w:r>
        <w:rPr>
          <w:rFonts w:hint="eastAsia" w:ascii="宋体" w:hAnsi="宋体" w:cs="宋体"/>
          <w:szCs w:val="21"/>
        </w:rPr>
        <w:t>供应商（盖章）：</w:t>
      </w:r>
      <w:r>
        <w:rPr>
          <w:rFonts w:hint="eastAsia" w:ascii="宋体" w:hAnsi="宋体"/>
          <w:bCs/>
          <w:szCs w:val="21"/>
          <w:u w:val="single"/>
        </w:rPr>
        <w:t>_______________</w:t>
      </w:r>
    </w:p>
    <w:p>
      <w:pPr>
        <w:spacing w:line="360" w:lineRule="auto"/>
        <w:ind w:firstLine="2408" w:firstLineChars="1147"/>
        <w:jc w:val="left"/>
        <w:rPr>
          <w:rFonts w:ascii="宋体"/>
          <w:szCs w:val="21"/>
        </w:rPr>
      </w:pPr>
      <w:r>
        <w:rPr>
          <w:rFonts w:hint="eastAsia" w:ascii="宋体" w:hAnsi="宋体" w:cs="宋体"/>
          <w:szCs w:val="21"/>
        </w:rPr>
        <w:t>法定代表人或法定代表人授权代表签字或盖章：</w:t>
      </w:r>
      <w:r>
        <w:rPr>
          <w:rFonts w:hint="eastAsia" w:ascii="宋体" w:hAnsi="宋体"/>
          <w:bCs/>
          <w:szCs w:val="21"/>
          <w:u w:val="single"/>
        </w:rPr>
        <w:t>______________</w:t>
      </w:r>
    </w:p>
    <w:p>
      <w:pPr>
        <w:spacing w:line="360" w:lineRule="auto"/>
        <w:ind w:firstLine="2408" w:firstLineChars="1147"/>
        <w:rPr>
          <w:rFonts w:ascii="宋体" w:hAnsi="宋体"/>
          <w:bCs/>
          <w:szCs w:val="21"/>
          <w:u w:val="single"/>
        </w:rPr>
      </w:pPr>
      <w:r>
        <w:rPr>
          <w:rFonts w:hint="eastAsia" w:ascii="宋体" w:hAnsi="宋体"/>
          <w:bCs/>
          <w:szCs w:val="21"/>
        </w:rPr>
        <w:t>日期：</w:t>
      </w:r>
      <w:r>
        <w:rPr>
          <w:rFonts w:hint="eastAsia" w:ascii="宋体" w:hAnsi="宋体"/>
          <w:bCs/>
          <w:szCs w:val="21"/>
          <w:u w:val="single"/>
        </w:rPr>
        <w:t>_______________</w:t>
      </w:r>
    </w:p>
    <w:p>
      <w:pPr>
        <w:pStyle w:val="5"/>
      </w:pPr>
      <w:r>
        <w:rPr>
          <w:rFonts w:hint="eastAsia"/>
        </w:rPr>
        <w:t>供应商信用承诺书</w:t>
      </w:r>
    </w:p>
    <w:p>
      <w:pPr>
        <w:spacing w:line="360" w:lineRule="auto"/>
        <w:jc w:val="left"/>
        <w:rPr>
          <w:rFonts w:ascii="宋体" w:hAnsi="宋体"/>
          <w:bCs/>
        </w:rPr>
      </w:pPr>
      <w:r>
        <w:rPr>
          <w:rFonts w:hint="eastAsia" w:ascii="宋体" w:hAnsi="宋体"/>
          <w:bCs/>
        </w:rPr>
        <w:t>承诺主体名称：</w:t>
      </w:r>
    </w:p>
    <w:p>
      <w:pPr>
        <w:spacing w:line="360" w:lineRule="auto"/>
        <w:jc w:val="left"/>
        <w:rPr>
          <w:rFonts w:ascii="宋体" w:hAnsi="宋体"/>
          <w:bCs/>
        </w:rPr>
      </w:pPr>
      <w:r>
        <w:rPr>
          <w:rFonts w:hint="eastAsia" w:ascii="宋体" w:hAnsi="宋体"/>
          <w:bCs/>
        </w:rPr>
        <w:t>统一社会信用代码：</w:t>
      </w:r>
    </w:p>
    <w:p>
      <w:pPr>
        <w:spacing w:line="360" w:lineRule="auto"/>
        <w:ind w:firstLine="420" w:firstLineChars="200"/>
        <w:jc w:val="left"/>
        <w:rPr>
          <w:rFonts w:ascii="宋体" w:hAnsi="宋体"/>
          <w:bCs/>
        </w:rPr>
      </w:pPr>
      <w:r>
        <w:rPr>
          <w:rFonts w:hint="eastAsia" w:ascii="宋体" w:hAnsi="宋体"/>
          <w:bCs/>
        </w:rPr>
        <w:t>为维护公平竞争、规范有序的市场秩序，营造诚实守信的信用环境，共同推进社会信用体系建设完善，树立企业诚信守法形象，本企业对________________________项目政府采购活动郑重承诺如下:</w:t>
      </w:r>
    </w:p>
    <w:p>
      <w:pPr>
        <w:spacing w:line="360" w:lineRule="auto"/>
        <w:ind w:firstLine="420" w:firstLineChars="200"/>
        <w:jc w:val="left"/>
        <w:rPr>
          <w:rFonts w:ascii="宋体" w:hAnsi="宋体"/>
          <w:bCs/>
        </w:rPr>
      </w:pPr>
      <w:r>
        <w:rPr>
          <w:rFonts w:hint="eastAsia" w:ascii="宋体" w:hAnsi="宋体"/>
          <w:bCs/>
        </w:rPr>
        <w:t>一、对提供给注册登记部门、行业管理部门、司法部门、行业组织以及在政府采购活动中提交的所有资料的合法性、真实性、准确性和有效性负责；</w:t>
      </w:r>
    </w:p>
    <w:p>
      <w:pPr>
        <w:spacing w:line="360" w:lineRule="auto"/>
        <w:ind w:firstLine="420" w:firstLineChars="200"/>
        <w:jc w:val="left"/>
        <w:rPr>
          <w:rFonts w:ascii="宋体" w:hAnsi="宋体"/>
          <w:bCs/>
        </w:rPr>
      </w:pPr>
      <w:r>
        <w:rPr>
          <w:rFonts w:hint="eastAsia" w:ascii="宋体" w:hAnsi="宋体"/>
          <w:bCs/>
        </w:rPr>
        <w:t>二、严格按照国家法律、法规和规章开展采购活动，全面履行应尽的责任和义务，全面做到履约守信，具备《中华人民共和国政府采购法》第二十二条第一款规定的条件;</w:t>
      </w:r>
    </w:p>
    <w:p>
      <w:pPr>
        <w:spacing w:line="360" w:lineRule="auto"/>
        <w:ind w:firstLine="420" w:firstLineChars="200"/>
        <w:jc w:val="left"/>
        <w:rPr>
          <w:rFonts w:ascii="宋体" w:hAnsi="宋体"/>
          <w:bCs/>
        </w:rPr>
      </w:pPr>
      <w:r>
        <w:rPr>
          <w:rFonts w:hint="eastAsia" w:ascii="宋体" w:hAnsi="宋体"/>
          <w:bCs/>
        </w:rPr>
        <w:t>三、严格依法开展生产经营活动，主动接受行业监管，自愿接受依法开展的日常检查；违法失信经营后将自愿接受约束和惩戒，并依法承担相应责任；</w:t>
      </w:r>
    </w:p>
    <w:p>
      <w:pPr>
        <w:spacing w:line="360" w:lineRule="auto"/>
        <w:ind w:firstLine="420" w:firstLineChars="200"/>
        <w:jc w:val="left"/>
        <w:rPr>
          <w:rFonts w:ascii="宋体" w:hAnsi="宋体"/>
          <w:bCs/>
        </w:rPr>
      </w:pPr>
      <w:r>
        <w:rPr>
          <w:rFonts w:hint="eastAsia" w:ascii="宋体" w:hAnsi="宋体"/>
          <w:bCs/>
        </w:rPr>
        <w:t>四、自觉接受行政管理部门、行业组织、社会公众、新闻舆论的监督；</w:t>
      </w:r>
    </w:p>
    <w:p>
      <w:pPr>
        <w:spacing w:line="360" w:lineRule="auto"/>
        <w:ind w:firstLine="420" w:firstLineChars="200"/>
        <w:jc w:val="left"/>
        <w:rPr>
          <w:rFonts w:ascii="宋体" w:hAnsi="宋体"/>
          <w:bCs/>
        </w:rPr>
      </w:pPr>
      <w:r>
        <w:rPr>
          <w:rFonts w:hint="eastAsia" w:ascii="宋体" w:hAnsi="宋体"/>
          <w:bCs/>
        </w:rPr>
        <w:t>五、自觉做到自我约束、自我管理，不制假售假、商标侵权、虚假宣传、违约毁约、恶意逃债、偷税漏税、垄断和不正当竞争，维护经营者、消费者的合法权益；</w:t>
      </w:r>
    </w:p>
    <w:p>
      <w:pPr>
        <w:spacing w:line="360" w:lineRule="auto"/>
        <w:ind w:firstLine="420" w:firstLineChars="200"/>
        <w:jc w:val="left"/>
        <w:rPr>
          <w:rFonts w:ascii="宋体" w:hAnsi="宋体"/>
          <w:bCs/>
        </w:rPr>
      </w:pPr>
      <w:r>
        <w:rPr>
          <w:rFonts w:hint="eastAsia" w:ascii="宋体" w:hAnsi="宋体"/>
          <w:bCs/>
        </w:rPr>
        <w:t>六、提出政府采购质疑和投诉坚持依法依规、诚实信用原则，在全国范围12个月内没有三次以上查无实据的政府采购投诉；</w:t>
      </w:r>
    </w:p>
    <w:p>
      <w:pPr>
        <w:spacing w:line="360" w:lineRule="auto"/>
        <w:ind w:firstLine="420" w:firstLineChars="200"/>
        <w:jc w:val="left"/>
        <w:rPr>
          <w:rFonts w:ascii="宋体" w:hAnsi="宋体"/>
          <w:bCs/>
        </w:rPr>
      </w:pPr>
      <w:r>
        <w:rPr>
          <w:rFonts w:hint="eastAsia" w:ascii="宋体" w:hAnsi="宋体"/>
          <w:bCs/>
        </w:rPr>
        <w:t>七、严格遵守信用信息公示相关规定，向社会公示信用信息；</w:t>
      </w:r>
    </w:p>
    <w:p>
      <w:pPr>
        <w:spacing w:line="360" w:lineRule="auto"/>
        <w:ind w:firstLine="420" w:firstLineChars="200"/>
        <w:jc w:val="left"/>
        <w:rPr>
          <w:rFonts w:ascii="宋体" w:hAnsi="宋体"/>
          <w:bCs/>
        </w:rPr>
      </w:pPr>
      <w:r>
        <w:rPr>
          <w:rFonts w:hint="eastAsia" w:ascii="宋体" w:hAnsi="宋体"/>
          <w:bCs/>
        </w:rPr>
        <w:t>八、在“信用中国”和“中国政府采购网”网站中无违法违规、较重或严重失信记录；</w:t>
      </w:r>
    </w:p>
    <w:p>
      <w:pPr>
        <w:spacing w:line="360" w:lineRule="auto"/>
        <w:ind w:firstLine="420" w:firstLineChars="200"/>
        <w:jc w:val="left"/>
        <w:rPr>
          <w:rFonts w:ascii="宋体" w:hAnsi="宋体"/>
          <w:bCs/>
        </w:rPr>
      </w:pPr>
      <w:r>
        <w:rPr>
          <w:rFonts w:hint="eastAsia" w:ascii="宋体" w:hAnsi="宋体"/>
          <w:bCs/>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firstLineChars="200"/>
        <w:jc w:val="left"/>
        <w:rPr>
          <w:rFonts w:ascii="宋体" w:hAnsi="宋体"/>
          <w:bCs/>
        </w:rPr>
      </w:pPr>
      <w:r>
        <w:rPr>
          <w:rFonts w:hint="eastAsia" w:ascii="宋体" w:hAnsi="宋体"/>
          <w:bCs/>
        </w:rPr>
        <w:t>十、本承诺书自签订之日起生效。</w:t>
      </w:r>
    </w:p>
    <w:p>
      <w:pPr>
        <w:spacing w:line="360" w:lineRule="auto"/>
        <w:ind w:firstLine="420" w:firstLineChars="200"/>
        <w:jc w:val="left"/>
        <w:rPr>
          <w:rFonts w:ascii="宋体" w:hAnsi="宋体"/>
          <w:bCs/>
        </w:rPr>
      </w:pPr>
      <w:r>
        <w:rPr>
          <w:rFonts w:hint="eastAsia" w:ascii="宋体" w:hAnsi="宋体"/>
          <w:bCs/>
        </w:rPr>
        <w:t xml:space="preserve"> （注：法定代表人或负责人、主体名称发生变更的应当重新做出承诺。）</w:t>
      </w:r>
    </w:p>
    <w:p>
      <w:pPr>
        <w:spacing w:line="360" w:lineRule="auto"/>
        <w:jc w:val="left"/>
        <w:rPr>
          <w:rFonts w:ascii="宋体" w:hAnsi="宋体"/>
          <w:bCs/>
        </w:rPr>
      </w:pPr>
    </w:p>
    <w:p>
      <w:pPr>
        <w:spacing w:line="360" w:lineRule="auto"/>
        <w:jc w:val="right"/>
        <w:rPr>
          <w:rFonts w:ascii="宋体" w:hAnsi="宋体"/>
          <w:bCs/>
        </w:rPr>
      </w:pPr>
      <w:r>
        <w:rPr>
          <w:rFonts w:hint="eastAsia" w:ascii="宋体" w:hAnsi="宋体"/>
          <w:bCs/>
        </w:rPr>
        <w:t xml:space="preserve">承诺单位（签章）： </w:t>
      </w:r>
    </w:p>
    <w:p>
      <w:pPr>
        <w:spacing w:line="360" w:lineRule="auto"/>
        <w:jc w:val="right"/>
        <w:rPr>
          <w:rFonts w:ascii="宋体" w:hAnsi="宋体"/>
          <w:bCs/>
        </w:rPr>
      </w:pPr>
      <w:r>
        <w:rPr>
          <w:rFonts w:hint="eastAsia" w:ascii="宋体" w:hAnsi="宋体"/>
          <w:bCs/>
        </w:rPr>
        <w:t>法定代表人（负责人）：</w:t>
      </w:r>
    </w:p>
    <w:p>
      <w:pPr>
        <w:spacing w:line="360" w:lineRule="auto"/>
        <w:jc w:val="right"/>
        <w:rPr>
          <w:rFonts w:ascii="宋体" w:hAnsi="宋体"/>
          <w:bCs/>
        </w:rPr>
      </w:pPr>
      <w:r>
        <w:rPr>
          <w:rFonts w:hint="eastAsia" w:ascii="宋体" w:hAnsi="宋体"/>
          <w:bCs/>
        </w:rPr>
        <w:t>年    月    日</w:t>
      </w:r>
    </w:p>
    <w:p>
      <w:pPr>
        <w:pStyle w:val="5"/>
      </w:pPr>
      <w:r>
        <w:rPr>
          <w:rFonts w:hint="eastAsia"/>
        </w:rPr>
        <w:t>报价单</w:t>
      </w:r>
    </w:p>
    <w:p>
      <w:pPr>
        <w:spacing w:line="360" w:lineRule="auto"/>
        <w:ind w:firstLine="480"/>
        <w:rPr>
          <w:rFonts w:ascii="宋体" w:hAnsi="宋体"/>
          <w:szCs w:val="21"/>
        </w:rPr>
      </w:pPr>
      <w:r>
        <w:rPr>
          <w:rFonts w:hint="eastAsia" w:ascii="宋体" w:hAnsi="宋体"/>
          <w:szCs w:val="21"/>
        </w:rPr>
        <w:t>投标人全称（加盖公章）：</w:t>
      </w:r>
    </w:p>
    <w:p>
      <w:pPr>
        <w:spacing w:line="360" w:lineRule="auto"/>
        <w:ind w:firstLine="480"/>
        <w:rPr>
          <w:rFonts w:eastAsia="微软雅黑" w:cs="Calibri"/>
          <w:szCs w:val="21"/>
        </w:rPr>
      </w:pPr>
      <w:r>
        <w:rPr>
          <w:rFonts w:hint="eastAsia" w:ascii="宋体" w:hAnsi="宋体"/>
          <w:szCs w:val="21"/>
        </w:rPr>
        <w:t>项目名称：</w:t>
      </w:r>
      <w:r>
        <w:rPr>
          <w:rFonts w:hint="eastAsia" w:ascii="宋体" w:hAnsi="宋体"/>
          <w:szCs w:val="21"/>
          <w:u w:val="single"/>
        </w:rPr>
        <w:t xml:space="preserve">                                  </w:t>
      </w:r>
    </w:p>
    <w:tbl>
      <w:tblPr>
        <w:tblStyle w:val="10"/>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037"/>
        <w:gridCol w:w="3780"/>
        <w:gridCol w:w="110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品  名</w:t>
            </w:r>
          </w:p>
        </w:tc>
        <w:tc>
          <w:tcPr>
            <w:tcW w:w="1037"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规  格</w:t>
            </w:r>
          </w:p>
        </w:tc>
        <w:tc>
          <w:tcPr>
            <w:tcW w:w="378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参  数</w:t>
            </w:r>
          </w:p>
        </w:tc>
        <w:tc>
          <w:tcPr>
            <w:tcW w:w="1105"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最高限价</w:t>
            </w:r>
          </w:p>
        </w:tc>
        <w:tc>
          <w:tcPr>
            <w:tcW w:w="1105" w:type="dxa"/>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报价</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血筛四项血清（液体）标准物质-初检</w:t>
            </w:r>
          </w:p>
        </w:tc>
        <w:tc>
          <w:tcPr>
            <w:tcW w:w="1037"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3.0ml/支</w:t>
            </w:r>
          </w:p>
        </w:tc>
        <w:tc>
          <w:tcPr>
            <w:tcW w:w="3780"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HBsAg 0.2IU/ml+抗HCV 0.5NCU/ml+抗HIV-I 0.5NCU/ml+抗TP 6mIU/ml标准物质，液体，适用于血站在用的酶免分析仪和其他配套设备，可直接使用，无需稀释，安全快捷。-15℃以下有效期不少于两年。采用不少于3家厂商试剂进行检测，量值可溯源至WHO标准物质或卫生部临检中心国家一级标准物质，具有良好的稳定性和均一性。产品需要对应取得国家质量监督检验检疫总局所颁发的《国家标准物质定级证书》。</w:t>
            </w:r>
          </w:p>
          <w:p>
            <w:pPr>
              <w:spacing w:line="2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预计年采购量：</w:t>
            </w:r>
            <w:r>
              <w:rPr>
                <w:rFonts w:hint="eastAsia" w:ascii="宋体" w:hAnsi="宋体" w:eastAsia="宋体" w:cs="宋体"/>
                <w:sz w:val="21"/>
                <w:szCs w:val="21"/>
                <w:lang w:val="en-US" w:eastAsia="zh-CN"/>
              </w:rPr>
              <w:t>150支。</w:t>
            </w:r>
          </w:p>
        </w:tc>
        <w:tc>
          <w:tcPr>
            <w:tcW w:w="1105"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230元/支</w:t>
            </w:r>
          </w:p>
        </w:tc>
        <w:tc>
          <w:tcPr>
            <w:tcW w:w="1105" w:type="dxa"/>
            <w:vAlign w:val="center"/>
          </w:tcPr>
          <w:p>
            <w:pPr>
              <w:spacing w:line="2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血筛四项血清（液体）标准物质-复检</w:t>
            </w:r>
          </w:p>
        </w:tc>
        <w:tc>
          <w:tcPr>
            <w:tcW w:w="1037"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3.0ml/支</w:t>
            </w:r>
          </w:p>
        </w:tc>
        <w:tc>
          <w:tcPr>
            <w:tcW w:w="3780"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HBsAg0.2IU/ml+抗HCV0.2NCU/ml+抗HIV-10.5NCU/ml+抗TP3mIU/ml，标准物质，液体，适用于血站在用的酶免分析仪和其他配套设备，可直接使用，无需稀释，安全快捷。-15℃以下有效期不少于两年。采用不少于3家厂商试剂进行检测，量值可溯源至WHO标准物质或卫生部临检中心国家一级标准物质，具有良好的稳定性和均一性。产品需要对应取得国家质量监督检验检疫总局所颁发的《国家标准物质定级证书》。</w:t>
            </w:r>
          </w:p>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预计年采购量：</w:t>
            </w:r>
            <w:r>
              <w:rPr>
                <w:rFonts w:hint="eastAsia" w:ascii="宋体" w:hAnsi="宋体" w:eastAsia="宋体" w:cs="宋体"/>
                <w:sz w:val="21"/>
                <w:szCs w:val="21"/>
                <w:lang w:val="en-US" w:eastAsia="zh-CN"/>
              </w:rPr>
              <w:t>150支。</w:t>
            </w:r>
          </w:p>
        </w:tc>
        <w:tc>
          <w:tcPr>
            <w:tcW w:w="1105"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230元/支</w:t>
            </w:r>
          </w:p>
        </w:tc>
        <w:tc>
          <w:tcPr>
            <w:tcW w:w="1105" w:type="dxa"/>
            <w:vAlign w:val="center"/>
          </w:tcPr>
          <w:p>
            <w:pPr>
              <w:spacing w:line="2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HBV DNA/HCV RNA/HIV-1 RNA系统性能验证盘</w:t>
            </w:r>
          </w:p>
        </w:tc>
        <w:tc>
          <w:tcPr>
            <w:tcW w:w="1037"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216份/套</w:t>
            </w:r>
          </w:p>
        </w:tc>
        <w:tc>
          <w:tcPr>
            <w:tcW w:w="3780"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HBV DNA、HCV RNA、HIV-1 RNA项目，涵盖高、中、低不同浓度样本，适用于血站在用的核酸检测系统和其他配套设备，-70℃以下有效期不少于两年。要求所有标本保存在5ml样品管中，且贴有不重复条码，可直接使用，无需稀释，安全快捷。</w:t>
            </w:r>
          </w:p>
          <w:p>
            <w:pPr>
              <w:spacing w:line="2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预计年采购量：</w:t>
            </w:r>
            <w:r>
              <w:rPr>
                <w:rFonts w:hint="eastAsia" w:ascii="宋体" w:hAnsi="宋体" w:eastAsia="宋体" w:cs="宋体"/>
                <w:sz w:val="21"/>
                <w:szCs w:val="21"/>
                <w:lang w:val="en-US" w:eastAsia="zh-CN"/>
              </w:rPr>
              <w:t>1套。</w:t>
            </w:r>
          </w:p>
        </w:tc>
        <w:tc>
          <w:tcPr>
            <w:tcW w:w="1105"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260</w:t>
            </w:r>
            <w:r>
              <w:rPr>
                <w:rFonts w:hint="eastAsia" w:ascii="宋体" w:hAnsi="宋体" w:eastAsia="宋体" w:cs="宋体"/>
                <w:sz w:val="21"/>
                <w:szCs w:val="21"/>
                <w:lang w:val="en-US" w:eastAsia="zh-CN"/>
              </w:rPr>
              <w:t>0</w:t>
            </w:r>
            <w:r>
              <w:rPr>
                <w:rFonts w:hint="eastAsia" w:ascii="宋体" w:hAnsi="宋体" w:eastAsia="宋体" w:cs="宋体"/>
                <w:sz w:val="21"/>
                <w:szCs w:val="21"/>
              </w:rPr>
              <w:t>0元/套</w:t>
            </w:r>
          </w:p>
        </w:tc>
        <w:tc>
          <w:tcPr>
            <w:tcW w:w="1105" w:type="dxa"/>
            <w:vAlign w:val="center"/>
          </w:tcPr>
          <w:p>
            <w:pPr>
              <w:spacing w:line="2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乙型肝炎病毒核酸（HBV DNA）系列血清（液体）标准物质</w:t>
            </w:r>
          </w:p>
        </w:tc>
        <w:tc>
          <w:tcPr>
            <w:tcW w:w="1037"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1ml/支</w:t>
            </w:r>
          </w:p>
        </w:tc>
        <w:tc>
          <w:tcPr>
            <w:tcW w:w="3780"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HBV DNA标准物质，50 IU/ml，液体，可直接使用，无需稀释，安全快捷。适用于血站在用的核酸检测系统和其他配套设备，-15℃以下有效期不少于两年。采用不少于4家厂商试剂进行检测，量值可溯源至WHO标准物质或卫生部临检中心国家一级标准物质，具有良好的稳定性和均一性。产品需要对应取得国家质量监督检验检疫总局所颁发的《国家标准物质定级证书》。</w:t>
            </w:r>
          </w:p>
          <w:p>
            <w:pPr>
              <w:spacing w:line="2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预计年采购量：</w:t>
            </w:r>
            <w:r>
              <w:rPr>
                <w:rFonts w:hint="eastAsia" w:ascii="宋体" w:hAnsi="宋体" w:eastAsia="宋体" w:cs="宋体"/>
                <w:sz w:val="21"/>
                <w:szCs w:val="21"/>
                <w:lang w:val="en-US" w:eastAsia="zh-CN"/>
              </w:rPr>
              <w:t>80支。</w:t>
            </w:r>
          </w:p>
        </w:tc>
        <w:tc>
          <w:tcPr>
            <w:tcW w:w="1105"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100元/支</w:t>
            </w:r>
          </w:p>
        </w:tc>
        <w:tc>
          <w:tcPr>
            <w:tcW w:w="1105" w:type="dxa"/>
            <w:vAlign w:val="center"/>
          </w:tcPr>
          <w:p>
            <w:pPr>
              <w:spacing w:line="2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丙型肝炎病毒核酸（HCV RNA）系列血清（液体）标准物质</w:t>
            </w:r>
          </w:p>
        </w:tc>
        <w:tc>
          <w:tcPr>
            <w:tcW w:w="1037"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1ml/支</w:t>
            </w:r>
          </w:p>
        </w:tc>
        <w:tc>
          <w:tcPr>
            <w:tcW w:w="3780"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HCV RNA标准物质，50 IU/ml，液体，可直接使用，无需稀释，安全快捷。适用于血站在用的核酸检测系统和其他配套设备，-15℃以下有效期不少于两年。采用不少于4家厂商试剂进行检测，量值可溯源至WHO标准物质或卫生部临检中心国家一级标准物质，具有良好的稳定性和均一性。产品需要对应取得国家质量监督检验检疫总局所颁发的《国家标准物质定级证书》。</w:t>
            </w:r>
          </w:p>
          <w:p>
            <w:pPr>
              <w:spacing w:line="2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预计年采购量：</w:t>
            </w:r>
            <w:r>
              <w:rPr>
                <w:rFonts w:hint="eastAsia" w:ascii="宋体" w:hAnsi="宋体" w:eastAsia="宋体" w:cs="宋体"/>
                <w:sz w:val="21"/>
                <w:szCs w:val="21"/>
                <w:lang w:val="en-US" w:eastAsia="zh-CN"/>
              </w:rPr>
              <w:t>80支。</w:t>
            </w:r>
          </w:p>
        </w:tc>
        <w:tc>
          <w:tcPr>
            <w:tcW w:w="1105"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100元/支</w:t>
            </w:r>
          </w:p>
        </w:tc>
        <w:tc>
          <w:tcPr>
            <w:tcW w:w="1105" w:type="dxa"/>
            <w:vAlign w:val="center"/>
          </w:tcPr>
          <w:p>
            <w:pPr>
              <w:spacing w:line="2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人类免疫缺陷病毒核酸（HIV-1 RNA）系列血清（液体）标准物质</w:t>
            </w:r>
          </w:p>
        </w:tc>
        <w:tc>
          <w:tcPr>
            <w:tcW w:w="1037"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1ml/支</w:t>
            </w:r>
          </w:p>
        </w:tc>
        <w:tc>
          <w:tcPr>
            <w:tcW w:w="3780"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HIV-1 RNA标准物质，200 IU/ml，液体，可直接使用，无需稀释，安全快捷。适用于血站在用的核酸检测系统和其他配套设备，-15℃以下有效期不少于两年。采用不少于4家厂商试剂进行检测，量值可溯源至WHO标准物质或卫生部临检中心国家一级标准物质，具有良好的稳定性和均一性。产品需要对应取得国家质量监督检验检疫总局所颁发的《国家标准物质定级证书》。</w:t>
            </w:r>
          </w:p>
          <w:p>
            <w:pPr>
              <w:spacing w:line="2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预计年采购量：</w:t>
            </w:r>
            <w:r>
              <w:rPr>
                <w:rFonts w:hint="eastAsia" w:ascii="宋体" w:hAnsi="宋体" w:eastAsia="宋体" w:cs="宋体"/>
                <w:sz w:val="21"/>
                <w:szCs w:val="21"/>
                <w:lang w:val="en-US" w:eastAsia="zh-CN"/>
              </w:rPr>
              <w:t>80支。</w:t>
            </w:r>
          </w:p>
        </w:tc>
        <w:tc>
          <w:tcPr>
            <w:tcW w:w="1105"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100元/支</w:t>
            </w:r>
          </w:p>
        </w:tc>
        <w:tc>
          <w:tcPr>
            <w:tcW w:w="1105" w:type="dxa"/>
            <w:vAlign w:val="center"/>
          </w:tcPr>
          <w:p>
            <w:pPr>
              <w:spacing w:line="2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HBV DNA/HCV RNA/HIV-1 RNA标准物质</w:t>
            </w:r>
          </w:p>
        </w:tc>
        <w:tc>
          <w:tcPr>
            <w:tcW w:w="1037"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0.5ml/支，8支/套</w:t>
            </w:r>
          </w:p>
        </w:tc>
        <w:tc>
          <w:tcPr>
            <w:tcW w:w="3780"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每套1支HBV DNA 200 IU/mL/ 1支HCV RNA 1000 IU/mL/ 1支HIV-1 RNA 1000 IU/mL标准物质+5支阴性（HBV DNA、HCV RNA、HIV-1 RNA均为阴性），液体，可直接使用，无需稀释，安全快捷。适用于血站在用的核酸检测系统和其他配套设备，-15℃以下有效期不少于两年。标准物质采用不少于4家厂商试剂进行检测，量值可溯源至WHO标准物质或卫生部临检中心国家一级标准物质，具有良好的稳定性和均一性。产品需要对应取得国家质量监督检验检疫总局所颁发的《国家标准物质定级证书》。</w:t>
            </w:r>
          </w:p>
          <w:p>
            <w:pPr>
              <w:spacing w:line="2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预计年采购量：</w:t>
            </w:r>
            <w:r>
              <w:rPr>
                <w:rFonts w:hint="eastAsia" w:ascii="宋体" w:hAnsi="宋体" w:eastAsia="宋体" w:cs="宋体"/>
                <w:sz w:val="21"/>
                <w:szCs w:val="21"/>
                <w:lang w:val="en-US" w:eastAsia="zh-CN"/>
              </w:rPr>
              <w:t>200套。</w:t>
            </w:r>
          </w:p>
        </w:tc>
        <w:tc>
          <w:tcPr>
            <w:tcW w:w="1105"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350元/套</w:t>
            </w:r>
          </w:p>
        </w:tc>
        <w:tc>
          <w:tcPr>
            <w:tcW w:w="1105" w:type="dxa"/>
            <w:vAlign w:val="center"/>
          </w:tcPr>
          <w:p>
            <w:pPr>
              <w:spacing w:line="26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1"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酶免阴性质控品</w:t>
            </w:r>
          </w:p>
        </w:tc>
        <w:tc>
          <w:tcPr>
            <w:tcW w:w="1037"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0.5ml/支</w:t>
            </w:r>
          </w:p>
        </w:tc>
        <w:tc>
          <w:tcPr>
            <w:tcW w:w="3780" w:type="dxa"/>
            <w:vAlign w:val="center"/>
          </w:tcPr>
          <w:p>
            <w:pPr>
              <w:spacing w:line="260" w:lineRule="exact"/>
              <w:jc w:val="left"/>
              <w:rPr>
                <w:rFonts w:hint="eastAsia" w:ascii="宋体" w:hAnsi="宋体" w:eastAsia="宋体" w:cs="宋体"/>
                <w:sz w:val="21"/>
                <w:szCs w:val="21"/>
              </w:rPr>
            </w:pPr>
            <w:r>
              <w:rPr>
                <w:rFonts w:hint="eastAsia" w:ascii="宋体" w:hAnsi="宋体" w:eastAsia="宋体" w:cs="宋体"/>
                <w:sz w:val="21"/>
                <w:szCs w:val="21"/>
              </w:rPr>
              <w:t>适用于目前常见厂家的酶免试剂，HBsAg、抗HBs、HBeAg、抗HBe、抗HBc、抗HCV、抗HIV、抗TP检测均为阴性，液体，可直接使用，无需稀释，安全快捷，-15℃以下稳定保存2年。</w:t>
            </w:r>
          </w:p>
          <w:p>
            <w:pPr>
              <w:spacing w:line="2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预计年采购量：</w:t>
            </w:r>
            <w:r>
              <w:rPr>
                <w:rFonts w:hint="eastAsia" w:ascii="宋体" w:hAnsi="宋体" w:eastAsia="宋体" w:cs="宋体"/>
                <w:sz w:val="21"/>
                <w:szCs w:val="21"/>
                <w:lang w:val="en-US" w:eastAsia="zh-CN"/>
              </w:rPr>
              <w:t>400支。</w:t>
            </w:r>
          </w:p>
        </w:tc>
        <w:tc>
          <w:tcPr>
            <w:tcW w:w="1105" w:type="dxa"/>
            <w:vAlign w:val="center"/>
          </w:tcPr>
          <w:p>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25元/支</w:t>
            </w:r>
          </w:p>
        </w:tc>
        <w:tc>
          <w:tcPr>
            <w:tcW w:w="1105" w:type="dxa"/>
            <w:vAlign w:val="center"/>
          </w:tcPr>
          <w:p>
            <w:pPr>
              <w:spacing w:line="260" w:lineRule="exact"/>
              <w:jc w:val="center"/>
              <w:rPr>
                <w:rFonts w:hint="eastAsia" w:ascii="宋体" w:hAnsi="宋体" w:eastAsia="宋体" w:cs="宋体"/>
                <w:sz w:val="21"/>
                <w:szCs w:val="21"/>
              </w:rPr>
            </w:pPr>
          </w:p>
        </w:tc>
      </w:tr>
    </w:tbl>
    <w:p>
      <w:pPr>
        <w:spacing w:after="312" w:afterLines="100" w:line="360" w:lineRule="auto"/>
        <w:ind w:firstLine="482"/>
        <w:rPr>
          <w:rFonts w:ascii="宋体" w:hAnsi="宋体"/>
          <w:szCs w:val="21"/>
        </w:rPr>
      </w:pPr>
    </w:p>
    <w:p>
      <w:pPr>
        <w:ind w:firstLine="480"/>
        <w:rPr>
          <w:rFonts w:ascii="宋体" w:hAnsi="宋体"/>
          <w:kern w:val="0"/>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jc w:val="center"/>
        <w:rPr>
          <w:rFonts w:ascii="宋体" w:hAnsi="宋体"/>
          <w:b/>
          <w:szCs w:val="21"/>
        </w:rPr>
      </w:pPr>
    </w:p>
    <w:p>
      <w:pPr>
        <w:spacing w:line="360" w:lineRule="auto"/>
        <w:ind w:firstLine="480"/>
        <w:rPr>
          <w:rFonts w:ascii="宋体" w:hAnsi="宋体"/>
          <w:szCs w:val="21"/>
        </w:rPr>
      </w:pPr>
      <w:r>
        <w:rPr>
          <w:rFonts w:hint="eastAsia" w:ascii="宋体" w:hAnsi="宋体"/>
          <w:szCs w:val="21"/>
        </w:rPr>
        <w:t>填写说明：</w:t>
      </w:r>
    </w:p>
    <w:p>
      <w:pPr>
        <w:spacing w:line="360" w:lineRule="auto"/>
        <w:ind w:firstLine="420" w:firstLineChars="200"/>
        <w:rPr>
          <w:rFonts w:ascii="宋体" w:hAnsi="宋体"/>
          <w:i/>
          <w:szCs w:val="21"/>
        </w:rPr>
      </w:pPr>
      <w:r>
        <w:rPr>
          <w:rFonts w:hint="eastAsia" w:ascii="宋体" w:hAnsi="宋体"/>
          <w:i/>
          <w:szCs w:val="21"/>
        </w:rPr>
        <w:t>1、</w:t>
      </w:r>
      <w:r>
        <w:rPr>
          <w:rFonts w:hint="eastAsia" w:ascii="宋体" w:hAnsi="宋体"/>
          <w:bCs/>
          <w:i/>
          <w:iCs/>
          <w:szCs w:val="21"/>
          <w:u w:val="single"/>
        </w:rPr>
        <w:t>开标一览表必须加盖投标人公章（复印件无效）</w:t>
      </w:r>
      <w:r>
        <w:rPr>
          <w:rFonts w:hint="eastAsia" w:ascii="宋体" w:hAnsi="宋体"/>
          <w:i/>
          <w:szCs w:val="21"/>
        </w:rPr>
        <w:t>。</w:t>
      </w:r>
    </w:p>
    <w:p>
      <w:pPr>
        <w:spacing w:line="580" w:lineRule="exact"/>
        <w:jc w:val="right"/>
        <w:rPr>
          <w:rFonts w:ascii="Times New Roman" w:hAnsi="Times New Roman" w:eastAsia="方正仿宋_GBK" w:cs="Times New Roman"/>
          <w:sz w:val="28"/>
          <w:szCs w:val="28"/>
        </w:rPr>
      </w:pPr>
    </w:p>
    <w:p>
      <w:pPr>
        <w:spacing w:line="580" w:lineRule="exact"/>
        <w:jc w:val="right"/>
        <w:rPr>
          <w:rFonts w:ascii="Times New Roman" w:hAnsi="Times New Roman" w:eastAsia="方正仿宋_GBK" w:cs="Times New Roman"/>
          <w:sz w:val="28"/>
          <w:szCs w:val="28"/>
        </w:rPr>
      </w:pPr>
    </w:p>
    <w:p>
      <w:pPr>
        <w:spacing w:line="580" w:lineRule="exact"/>
        <w:jc w:val="right"/>
        <w:rPr>
          <w:rFonts w:ascii="Times New Roman" w:hAnsi="Times New Roman" w:eastAsia="方正仿宋_GBK" w:cs="Times New Roman"/>
          <w:sz w:val="28"/>
          <w:szCs w:val="28"/>
        </w:rPr>
      </w:pPr>
    </w:p>
    <w:p>
      <w:pPr>
        <w:pStyle w:val="3"/>
        <w:numPr>
          <w:ilvl w:val="1"/>
          <w:numId w:val="0"/>
        </w:numPr>
        <w:ind w:leftChars="0"/>
        <w:jc w:val="center"/>
        <w:rPr>
          <w:rFonts w:ascii="宋体" w:hAnsi="宋体" w:eastAsia="宋体"/>
          <w:sz w:val="21"/>
          <w:szCs w:val="21"/>
        </w:rPr>
      </w:pPr>
      <w:r>
        <w:rPr>
          <w:rFonts w:hint="eastAsia" w:ascii="宋体" w:hAnsi="宋体" w:eastAsia="宋体"/>
          <w:sz w:val="21"/>
          <w:szCs w:val="21"/>
          <w:lang w:val="en-US" w:eastAsia="zh-CN"/>
        </w:rPr>
        <w:t>7</w:t>
      </w:r>
      <w:r>
        <w:rPr>
          <w:rFonts w:hint="eastAsia" w:ascii="宋体" w:hAnsi="宋体" w:eastAsia="宋体"/>
          <w:sz w:val="21"/>
          <w:szCs w:val="21"/>
        </w:rPr>
        <w:t>、技术参数响应及偏离表</w:t>
      </w:r>
    </w:p>
    <w:tbl>
      <w:tblPr>
        <w:tblStyle w:val="9"/>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551"/>
        <w:gridCol w:w="2701"/>
        <w:gridCol w:w="1458"/>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jc w:val="center"/>
              <w:rPr>
                <w:rFonts w:ascii="宋体" w:hAnsi="宋体"/>
                <w:szCs w:val="21"/>
              </w:rPr>
            </w:pPr>
            <w:r>
              <w:rPr>
                <w:rFonts w:hint="eastAsia" w:ascii="宋体" w:hAnsi="宋体"/>
                <w:szCs w:val="21"/>
              </w:rPr>
              <w:t>序号</w:t>
            </w:r>
          </w:p>
        </w:tc>
        <w:tc>
          <w:tcPr>
            <w:tcW w:w="2551" w:type="dxa"/>
            <w:vAlign w:val="center"/>
          </w:tcPr>
          <w:p>
            <w:pPr>
              <w:jc w:val="center"/>
              <w:rPr>
                <w:rFonts w:ascii="宋体" w:hAnsi="宋体"/>
                <w:szCs w:val="21"/>
              </w:rPr>
            </w:pPr>
            <w:r>
              <w:rPr>
                <w:rFonts w:hint="eastAsia" w:ascii="宋体" w:hAnsi="宋体"/>
                <w:szCs w:val="21"/>
              </w:rPr>
              <w:t>招标要求</w:t>
            </w:r>
          </w:p>
        </w:tc>
        <w:tc>
          <w:tcPr>
            <w:tcW w:w="2701" w:type="dxa"/>
            <w:vAlign w:val="center"/>
          </w:tcPr>
          <w:p>
            <w:pPr>
              <w:jc w:val="center"/>
              <w:rPr>
                <w:rFonts w:ascii="宋体" w:hAnsi="宋体"/>
                <w:szCs w:val="21"/>
              </w:rPr>
            </w:pPr>
            <w:r>
              <w:rPr>
                <w:rFonts w:hint="eastAsia" w:ascii="宋体" w:hAnsi="宋体"/>
                <w:szCs w:val="21"/>
              </w:rPr>
              <w:t>投标响应</w:t>
            </w:r>
          </w:p>
        </w:tc>
        <w:tc>
          <w:tcPr>
            <w:tcW w:w="1458" w:type="dxa"/>
            <w:vAlign w:val="center"/>
          </w:tcPr>
          <w:p>
            <w:pPr>
              <w:jc w:val="center"/>
              <w:rPr>
                <w:rFonts w:ascii="宋体" w:hAnsi="宋体"/>
                <w:szCs w:val="21"/>
              </w:rPr>
            </w:pPr>
            <w:r>
              <w:rPr>
                <w:rFonts w:hint="eastAsia" w:ascii="宋体" w:hAnsi="宋体"/>
                <w:szCs w:val="21"/>
              </w:rPr>
              <w:t>超出、符合或偏离</w:t>
            </w:r>
          </w:p>
        </w:tc>
        <w:tc>
          <w:tcPr>
            <w:tcW w:w="1210" w:type="dxa"/>
            <w:vAlign w:val="center"/>
          </w:tcPr>
          <w:p>
            <w:pPr>
              <w:jc w:val="center"/>
              <w:rPr>
                <w:rFonts w:ascii="宋体" w:hAnsi="宋体"/>
                <w:szCs w:val="21"/>
              </w:rPr>
            </w:pPr>
            <w:r>
              <w:rPr>
                <w:rFonts w:hint="eastAsia" w:ascii="宋体" w:hAnsi="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szCs w:val="21"/>
              </w:rPr>
            </w:pPr>
          </w:p>
        </w:tc>
        <w:tc>
          <w:tcPr>
            <w:tcW w:w="2551" w:type="dxa"/>
          </w:tcPr>
          <w:p>
            <w:pPr>
              <w:jc w:val="center"/>
              <w:rPr>
                <w:rFonts w:ascii="宋体" w:hAnsi="宋体"/>
                <w:szCs w:val="21"/>
              </w:rPr>
            </w:pPr>
          </w:p>
        </w:tc>
        <w:tc>
          <w:tcPr>
            <w:tcW w:w="2701" w:type="dxa"/>
          </w:tcPr>
          <w:p>
            <w:pPr>
              <w:jc w:val="center"/>
              <w:rPr>
                <w:rFonts w:ascii="宋体" w:hAnsi="宋体"/>
                <w:szCs w:val="21"/>
              </w:rPr>
            </w:pPr>
          </w:p>
        </w:tc>
        <w:tc>
          <w:tcPr>
            <w:tcW w:w="1458" w:type="dxa"/>
          </w:tcPr>
          <w:p>
            <w:pPr>
              <w:jc w:val="center"/>
              <w:rPr>
                <w:rFonts w:ascii="宋体" w:hAnsi="宋体"/>
                <w:szCs w:val="21"/>
              </w:rPr>
            </w:pPr>
          </w:p>
        </w:tc>
        <w:tc>
          <w:tcPr>
            <w:tcW w:w="121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szCs w:val="21"/>
              </w:rPr>
            </w:pPr>
          </w:p>
        </w:tc>
        <w:tc>
          <w:tcPr>
            <w:tcW w:w="2551" w:type="dxa"/>
          </w:tcPr>
          <w:p>
            <w:pPr>
              <w:jc w:val="center"/>
              <w:rPr>
                <w:rFonts w:ascii="宋体" w:hAnsi="宋体"/>
                <w:szCs w:val="21"/>
              </w:rPr>
            </w:pPr>
          </w:p>
        </w:tc>
        <w:tc>
          <w:tcPr>
            <w:tcW w:w="2701" w:type="dxa"/>
          </w:tcPr>
          <w:p>
            <w:pPr>
              <w:jc w:val="center"/>
              <w:rPr>
                <w:rFonts w:ascii="宋体" w:hAnsi="宋体"/>
                <w:szCs w:val="21"/>
              </w:rPr>
            </w:pPr>
          </w:p>
        </w:tc>
        <w:tc>
          <w:tcPr>
            <w:tcW w:w="1458" w:type="dxa"/>
          </w:tcPr>
          <w:p>
            <w:pPr>
              <w:jc w:val="center"/>
              <w:rPr>
                <w:rFonts w:ascii="宋体" w:hAnsi="宋体"/>
                <w:szCs w:val="21"/>
              </w:rPr>
            </w:pPr>
          </w:p>
        </w:tc>
        <w:tc>
          <w:tcPr>
            <w:tcW w:w="121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szCs w:val="21"/>
              </w:rPr>
            </w:pPr>
          </w:p>
        </w:tc>
        <w:tc>
          <w:tcPr>
            <w:tcW w:w="2551" w:type="dxa"/>
          </w:tcPr>
          <w:p>
            <w:pPr>
              <w:jc w:val="center"/>
              <w:rPr>
                <w:rFonts w:ascii="宋体" w:hAnsi="宋体"/>
                <w:szCs w:val="21"/>
              </w:rPr>
            </w:pPr>
          </w:p>
        </w:tc>
        <w:tc>
          <w:tcPr>
            <w:tcW w:w="2701" w:type="dxa"/>
          </w:tcPr>
          <w:p>
            <w:pPr>
              <w:jc w:val="center"/>
              <w:rPr>
                <w:rFonts w:ascii="宋体" w:hAnsi="宋体"/>
                <w:szCs w:val="21"/>
              </w:rPr>
            </w:pPr>
          </w:p>
        </w:tc>
        <w:tc>
          <w:tcPr>
            <w:tcW w:w="1458" w:type="dxa"/>
          </w:tcPr>
          <w:p>
            <w:pPr>
              <w:jc w:val="center"/>
              <w:rPr>
                <w:rFonts w:ascii="宋体" w:hAnsi="宋体"/>
                <w:szCs w:val="21"/>
              </w:rPr>
            </w:pPr>
          </w:p>
        </w:tc>
        <w:tc>
          <w:tcPr>
            <w:tcW w:w="121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szCs w:val="21"/>
              </w:rPr>
            </w:pPr>
          </w:p>
        </w:tc>
        <w:tc>
          <w:tcPr>
            <w:tcW w:w="2551" w:type="dxa"/>
          </w:tcPr>
          <w:p>
            <w:pPr>
              <w:jc w:val="center"/>
              <w:rPr>
                <w:rFonts w:ascii="宋体" w:hAnsi="宋体"/>
                <w:szCs w:val="21"/>
              </w:rPr>
            </w:pPr>
          </w:p>
        </w:tc>
        <w:tc>
          <w:tcPr>
            <w:tcW w:w="2701" w:type="dxa"/>
          </w:tcPr>
          <w:p>
            <w:pPr>
              <w:jc w:val="center"/>
              <w:rPr>
                <w:rFonts w:ascii="宋体" w:hAnsi="宋体"/>
                <w:szCs w:val="21"/>
              </w:rPr>
            </w:pPr>
          </w:p>
        </w:tc>
        <w:tc>
          <w:tcPr>
            <w:tcW w:w="1458" w:type="dxa"/>
          </w:tcPr>
          <w:p>
            <w:pPr>
              <w:jc w:val="center"/>
              <w:rPr>
                <w:rFonts w:ascii="宋体" w:hAnsi="宋体"/>
                <w:szCs w:val="21"/>
              </w:rPr>
            </w:pPr>
          </w:p>
        </w:tc>
        <w:tc>
          <w:tcPr>
            <w:tcW w:w="121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szCs w:val="21"/>
              </w:rPr>
            </w:pPr>
          </w:p>
        </w:tc>
        <w:tc>
          <w:tcPr>
            <w:tcW w:w="2551" w:type="dxa"/>
          </w:tcPr>
          <w:p>
            <w:pPr>
              <w:jc w:val="center"/>
              <w:rPr>
                <w:rFonts w:ascii="宋体" w:hAnsi="宋体"/>
                <w:szCs w:val="21"/>
              </w:rPr>
            </w:pPr>
          </w:p>
        </w:tc>
        <w:tc>
          <w:tcPr>
            <w:tcW w:w="2701" w:type="dxa"/>
          </w:tcPr>
          <w:p>
            <w:pPr>
              <w:jc w:val="center"/>
              <w:rPr>
                <w:rFonts w:ascii="宋体" w:hAnsi="宋体"/>
                <w:szCs w:val="21"/>
              </w:rPr>
            </w:pPr>
          </w:p>
        </w:tc>
        <w:tc>
          <w:tcPr>
            <w:tcW w:w="1458" w:type="dxa"/>
          </w:tcPr>
          <w:p>
            <w:pPr>
              <w:jc w:val="center"/>
              <w:rPr>
                <w:rFonts w:ascii="宋体" w:hAnsi="宋体"/>
                <w:szCs w:val="21"/>
              </w:rPr>
            </w:pPr>
          </w:p>
        </w:tc>
        <w:tc>
          <w:tcPr>
            <w:tcW w:w="121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szCs w:val="21"/>
              </w:rPr>
            </w:pPr>
          </w:p>
        </w:tc>
        <w:tc>
          <w:tcPr>
            <w:tcW w:w="2551" w:type="dxa"/>
          </w:tcPr>
          <w:p>
            <w:pPr>
              <w:jc w:val="center"/>
              <w:rPr>
                <w:rFonts w:ascii="宋体" w:hAnsi="宋体"/>
                <w:szCs w:val="21"/>
              </w:rPr>
            </w:pPr>
          </w:p>
        </w:tc>
        <w:tc>
          <w:tcPr>
            <w:tcW w:w="2701" w:type="dxa"/>
          </w:tcPr>
          <w:p>
            <w:pPr>
              <w:jc w:val="center"/>
              <w:rPr>
                <w:rFonts w:ascii="宋体" w:hAnsi="宋体"/>
                <w:szCs w:val="21"/>
              </w:rPr>
            </w:pPr>
          </w:p>
        </w:tc>
        <w:tc>
          <w:tcPr>
            <w:tcW w:w="1458" w:type="dxa"/>
          </w:tcPr>
          <w:p>
            <w:pPr>
              <w:jc w:val="center"/>
              <w:rPr>
                <w:rFonts w:ascii="宋体" w:hAnsi="宋体"/>
                <w:szCs w:val="21"/>
              </w:rPr>
            </w:pPr>
          </w:p>
        </w:tc>
        <w:tc>
          <w:tcPr>
            <w:tcW w:w="121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szCs w:val="21"/>
              </w:rPr>
            </w:pPr>
          </w:p>
        </w:tc>
        <w:tc>
          <w:tcPr>
            <w:tcW w:w="2551" w:type="dxa"/>
          </w:tcPr>
          <w:p>
            <w:pPr>
              <w:jc w:val="center"/>
              <w:rPr>
                <w:rFonts w:ascii="宋体" w:hAnsi="宋体"/>
                <w:szCs w:val="21"/>
              </w:rPr>
            </w:pPr>
          </w:p>
        </w:tc>
        <w:tc>
          <w:tcPr>
            <w:tcW w:w="2701" w:type="dxa"/>
          </w:tcPr>
          <w:p>
            <w:pPr>
              <w:jc w:val="center"/>
              <w:rPr>
                <w:rFonts w:ascii="宋体" w:hAnsi="宋体"/>
                <w:szCs w:val="21"/>
              </w:rPr>
            </w:pPr>
          </w:p>
        </w:tc>
        <w:tc>
          <w:tcPr>
            <w:tcW w:w="1458" w:type="dxa"/>
          </w:tcPr>
          <w:p>
            <w:pPr>
              <w:jc w:val="center"/>
              <w:rPr>
                <w:rFonts w:ascii="宋体" w:hAnsi="宋体"/>
                <w:szCs w:val="21"/>
              </w:rPr>
            </w:pPr>
          </w:p>
        </w:tc>
        <w:tc>
          <w:tcPr>
            <w:tcW w:w="1210"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szCs w:val="21"/>
              </w:rPr>
            </w:pPr>
          </w:p>
        </w:tc>
        <w:tc>
          <w:tcPr>
            <w:tcW w:w="2551" w:type="dxa"/>
          </w:tcPr>
          <w:p>
            <w:pPr>
              <w:jc w:val="center"/>
              <w:rPr>
                <w:rFonts w:ascii="宋体" w:hAnsi="宋体"/>
                <w:szCs w:val="21"/>
              </w:rPr>
            </w:pPr>
          </w:p>
        </w:tc>
        <w:tc>
          <w:tcPr>
            <w:tcW w:w="2701" w:type="dxa"/>
          </w:tcPr>
          <w:p>
            <w:pPr>
              <w:jc w:val="center"/>
              <w:rPr>
                <w:rFonts w:ascii="宋体" w:hAnsi="宋体"/>
                <w:szCs w:val="21"/>
              </w:rPr>
            </w:pPr>
          </w:p>
        </w:tc>
        <w:tc>
          <w:tcPr>
            <w:tcW w:w="1458" w:type="dxa"/>
          </w:tcPr>
          <w:p>
            <w:pPr>
              <w:jc w:val="center"/>
              <w:rPr>
                <w:rFonts w:ascii="宋体" w:hAnsi="宋体"/>
                <w:szCs w:val="21"/>
              </w:rPr>
            </w:pPr>
          </w:p>
        </w:tc>
        <w:tc>
          <w:tcPr>
            <w:tcW w:w="1210" w:type="dxa"/>
          </w:tcPr>
          <w:p>
            <w:pPr>
              <w:jc w:val="center"/>
              <w:rPr>
                <w:rFonts w:ascii="宋体" w:hAnsi="宋体"/>
                <w:szCs w:val="21"/>
              </w:rPr>
            </w:pPr>
          </w:p>
        </w:tc>
      </w:tr>
    </w:tbl>
    <w:p>
      <w:pPr>
        <w:rPr>
          <w:rFonts w:ascii="宋体" w:hAnsi="宋体"/>
          <w:sz w:val="24"/>
          <w:szCs w:val="24"/>
        </w:rPr>
      </w:pPr>
    </w:p>
    <w:p>
      <w:pPr>
        <w:rPr>
          <w:rFonts w:ascii="宋体" w:hAnsi="宋体"/>
          <w:sz w:val="24"/>
          <w:szCs w:val="24"/>
        </w:rPr>
      </w:pPr>
      <w:r>
        <w:rPr>
          <w:rFonts w:hint="eastAsia" w:ascii="宋体" w:hAnsi="宋体"/>
          <w:sz w:val="24"/>
          <w:szCs w:val="24"/>
        </w:rPr>
        <w:t>注：1、按照基本技术要求详细填列。</w:t>
      </w:r>
    </w:p>
    <w:p>
      <w:pPr>
        <w:widowControl w:val="0"/>
        <w:numPr>
          <w:ilvl w:val="0"/>
          <w:numId w:val="0"/>
        </w:numPr>
        <w:spacing w:line="360" w:lineRule="auto"/>
        <w:jc w:val="both"/>
        <w:rPr>
          <w:rFonts w:hint="eastAsia" w:ascii="宋体" w:hAnsi="宋体"/>
          <w:i/>
          <w:szCs w:val="21"/>
        </w:rPr>
      </w:pPr>
      <w:r>
        <w:rPr>
          <w:rFonts w:hint="eastAsia" w:ascii="宋体" w:hAnsi="宋体"/>
          <w:sz w:val="24"/>
          <w:szCs w:val="24"/>
        </w:rPr>
        <w:t>2、行数不够，可自行添加。</w:t>
      </w:r>
    </w:p>
    <w:p>
      <w:pPr>
        <w:widowControl w:val="0"/>
        <w:numPr>
          <w:ilvl w:val="0"/>
          <w:numId w:val="0"/>
        </w:numPr>
        <w:spacing w:line="360" w:lineRule="auto"/>
        <w:jc w:val="both"/>
        <w:rPr>
          <w:rFonts w:hint="eastAsia" w:ascii="宋体" w:hAnsi="宋体"/>
          <w:i/>
          <w:szCs w:val="21"/>
        </w:rPr>
      </w:pPr>
    </w:p>
    <w:p>
      <w:pPr>
        <w:spacing w:line="580" w:lineRule="exact"/>
        <w:jc w:val="right"/>
        <w:rPr>
          <w:rFonts w:ascii="Times New Roman" w:hAnsi="Times New Roman" w:eastAsia="方正仿宋_GBK" w:cs="Times New Roman"/>
          <w:sz w:val="28"/>
          <w:szCs w:val="28"/>
        </w:rPr>
      </w:pPr>
    </w:p>
    <w:p>
      <w:pPr>
        <w:spacing w:line="580" w:lineRule="exact"/>
        <w:jc w:val="right"/>
        <w:rPr>
          <w:rFonts w:ascii="Times New Roman" w:hAnsi="Times New Roman" w:eastAsia="方正仿宋_GBK" w:cs="Times New Roman"/>
          <w:sz w:val="28"/>
          <w:szCs w:val="28"/>
        </w:rPr>
      </w:pPr>
    </w:p>
    <w:p>
      <w:pPr>
        <w:jc w:val="right"/>
        <w:rPr>
          <w:rFonts w:ascii="Times New Roman" w:hAnsi="Times New Roman" w:eastAsia="方正仿宋_GBK"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A7D59"/>
    <w:multiLevelType w:val="multilevel"/>
    <w:tmpl w:val="064A7D59"/>
    <w:lvl w:ilvl="0" w:tentative="0">
      <w:start w:val="1"/>
      <w:numFmt w:val="decimal"/>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29C51E1D"/>
    <w:multiLevelType w:val="multilevel"/>
    <w:tmpl w:val="29C51E1D"/>
    <w:lvl w:ilvl="0" w:tentative="0">
      <w:start w:val="1"/>
      <w:numFmt w:val="decimal"/>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pStyle w:val="5"/>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38AB47A8"/>
    <w:multiLevelType w:val="multilevel"/>
    <w:tmpl w:val="38AB47A8"/>
    <w:lvl w:ilvl="0" w:tentative="0">
      <w:start w:val="1"/>
      <w:numFmt w:val="chineseCountingThousand"/>
      <w:pStyle w:val="2"/>
      <w:suff w:val="space"/>
      <w:lvlText w:val="第%1章"/>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0"/>
    <w:lvlOverride w:ilvl="0">
      <w:lvl w:ilvl="0" w:tentative="1">
        <w:start w:val="1"/>
        <w:numFmt w:val="decimal"/>
        <w:lvlText w:val="%1"/>
        <w:lvlJc w:val="left"/>
        <w:pPr>
          <w:ind w:left="0" w:firstLine="0"/>
        </w:pPr>
        <w:rPr>
          <w:rFonts w:hint="eastAsia"/>
        </w:rPr>
      </w:lvl>
    </w:lvlOverride>
    <w:lvlOverride w:ilvl="1">
      <w:lvl w:ilvl="1" w:tentative="1">
        <w:start w:val="1"/>
        <w:numFmt w:val="chineseCountingThousand"/>
        <w:pStyle w:val="3"/>
        <w:suff w:val="nothing"/>
        <w:lvlText w:val="%2、"/>
        <w:lvlJc w:val="left"/>
        <w:pPr>
          <w:ind w:left="0" w:firstLine="0"/>
        </w:pPr>
        <w:rPr>
          <w:rFonts w:hint="eastAsia"/>
        </w:rPr>
      </w:lvl>
    </w:lvlOverride>
    <w:lvlOverride w:ilvl="2">
      <w:lvl w:ilvl="2" w:tentative="1">
        <w:start w:val="1"/>
        <w:numFmt w:val="decimal"/>
        <w:lvlText w:val="%1.%2.%3"/>
        <w:lvlJc w:val="left"/>
        <w:pPr>
          <w:ind w:left="0" w:firstLine="0"/>
        </w:pPr>
        <w:rPr>
          <w:rFonts w:hint="eastAsia"/>
        </w:rPr>
      </w:lvl>
    </w:lvlOverride>
    <w:lvlOverride w:ilvl="3">
      <w:lvl w:ilvl="3" w:tentative="1">
        <w:start w:val="1"/>
        <w:numFmt w:val="decimal"/>
        <w:lvlText w:val="%1.%2.%3.%4"/>
        <w:lvlJc w:val="left"/>
        <w:pPr>
          <w:ind w:left="0" w:firstLine="0"/>
        </w:pPr>
        <w:rPr>
          <w:rFonts w:hint="eastAsia"/>
        </w:rPr>
      </w:lvl>
    </w:lvlOverride>
    <w:lvlOverride w:ilvl="4">
      <w:lvl w:ilvl="4" w:tentative="1">
        <w:start w:val="1"/>
        <w:numFmt w:val="decimal"/>
        <w:lvlText w:val="%1.%2.%3.%4.%5"/>
        <w:lvlJc w:val="left"/>
        <w:pPr>
          <w:ind w:left="0" w:firstLine="0"/>
        </w:pPr>
        <w:rPr>
          <w:rFonts w:hint="eastAsia"/>
        </w:rPr>
      </w:lvl>
    </w:lvlOverride>
    <w:lvlOverride w:ilvl="5">
      <w:lvl w:ilvl="5" w:tentative="1">
        <w:start w:val="1"/>
        <w:numFmt w:val="decimal"/>
        <w:lvlText w:val="%1.%2.%3.%4.%5.%6"/>
        <w:lvlJc w:val="left"/>
        <w:pPr>
          <w:ind w:left="0" w:firstLine="0"/>
        </w:pPr>
        <w:rPr>
          <w:rFonts w:hint="eastAsia"/>
        </w:rPr>
      </w:lvl>
    </w:lvlOverride>
    <w:lvlOverride w:ilvl="6">
      <w:lvl w:ilvl="6" w:tentative="1">
        <w:start w:val="1"/>
        <w:numFmt w:val="decimal"/>
        <w:lvlText w:val="%1.%2.%3.%4.%5.%6.%7"/>
        <w:lvlJc w:val="left"/>
        <w:pPr>
          <w:ind w:left="0" w:firstLine="0"/>
        </w:pPr>
        <w:rPr>
          <w:rFonts w:hint="eastAsia"/>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jMGIxMDBjYWYxMzQyMWUxNTc4MGY1NmRjZWI1OTgifQ=="/>
  </w:docVars>
  <w:rsids>
    <w:rsidRoot w:val="48CF3180"/>
    <w:rsid w:val="000B2842"/>
    <w:rsid w:val="001D39C5"/>
    <w:rsid w:val="001F632F"/>
    <w:rsid w:val="00242ED1"/>
    <w:rsid w:val="00265D87"/>
    <w:rsid w:val="0040640E"/>
    <w:rsid w:val="0046099E"/>
    <w:rsid w:val="00486E46"/>
    <w:rsid w:val="005F06C2"/>
    <w:rsid w:val="00652EDE"/>
    <w:rsid w:val="00682DBB"/>
    <w:rsid w:val="007132C8"/>
    <w:rsid w:val="00723F05"/>
    <w:rsid w:val="007A1A31"/>
    <w:rsid w:val="009B30E9"/>
    <w:rsid w:val="00A13CB3"/>
    <w:rsid w:val="00A94C64"/>
    <w:rsid w:val="00AA04F2"/>
    <w:rsid w:val="00C658EB"/>
    <w:rsid w:val="00CB610F"/>
    <w:rsid w:val="00D559BA"/>
    <w:rsid w:val="00EA0B44"/>
    <w:rsid w:val="00ED73EF"/>
    <w:rsid w:val="00F77EE0"/>
    <w:rsid w:val="00FA7D1E"/>
    <w:rsid w:val="0113596C"/>
    <w:rsid w:val="036223FC"/>
    <w:rsid w:val="0B644027"/>
    <w:rsid w:val="11AC5BEB"/>
    <w:rsid w:val="16BC22F2"/>
    <w:rsid w:val="17835346"/>
    <w:rsid w:val="196300EA"/>
    <w:rsid w:val="1A594A71"/>
    <w:rsid w:val="1A82238A"/>
    <w:rsid w:val="1B4530C7"/>
    <w:rsid w:val="1D8B005B"/>
    <w:rsid w:val="1DD979BE"/>
    <w:rsid w:val="21EC78BB"/>
    <w:rsid w:val="243E678C"/>
    <w:rsid w:val="25813692"/>
    <w:rsid w:val="29235626"/>
    <w:rsid w:val="30E65EA5"/>
    <w:rsid w:val="355C2AFF"/>
    <w:rsid w:val="357D4824"/>
    <w:rsid w:val="365C1BE2"/>
    <w:rsid w:val="36FB5611"/>
    <w:rsid w:val="374716C4"/>
    <w:rsid w:val="395462EA"/>
    <w:rsid w:val="3AC727E5"/>
    <w:rsid w:val="3C5143EF"/>
    <w:rsid w:val="41A847FE"/>
    <w:rsid w:val="42CE35CE"/>
    <w:rsid w:val="44B32010"/>
    <w:rsid w:val="46115240"/>
    <w:rsid w:val="483C1819"/>
    <w:rsid w:val="48CF3180"/>
    <w:rsid w:val="48E97D46"/>
    <w:rsid w:val="4AEC13C4"/>
    <w:rsid w:val="4C2106ED"/>
    <w:rsid w:val="4C315C76"/>
    <w:rsid w:val="4D804B14"/>
    <w:rsid w:val="4F326EDC"/>
    <w:rsid w:val="4F6726AB"/>
    <w:rsid w:val="50233CF0"/>
    <w:rsid w:val="552E63E4"/>
    <w:rsid w:val="557F1774"/>
    <w:rsid w:val="57044468"/>
    <w:rsid w:val="588A5D18"/>
    <w:rsid w:val="595379CD"/>
    <w:rsid w:val="59F14406"/>
    <w:rsid w:val="5A0F6486"/>
    <w:rsid w:val="5C302D7B"/>
    <w:rsid w:val="5DF272AD"/>
    <w:rsid w:val="5EA654CC"/>
    <w:rsid w:val="600F5034"/>
    <w:rsid w:val="61835DAD"/>
    <w:rsid w:val="660C6DD1"/>
    <w:rsid w:val="69385A76"/>
    <w:rsid w:val="6A483D6B"/>
    <w:rsid w:val="6C4F63F6"/>
    <w:rsid w:val="6F0653AE"/>
    <w:rsid w:val="70466C2A"/>
    <w:rsid w:val="70735EBF"/>
    <w:rsid w:val="70977807"/>
    <w:rsid w:val="70BF78CC"/>
    <w:rsid w:val="71ED5389"/>
    <w:rsid w:val="75ED6880"/>
    <w:rsid w:val="76F548F9"/>
    <w:rsid w:val="79DA34A0"/>
    <w:rsid w:val="7ABE1016"/>
    <w:rsid w:val="7C280623"/>
    <w:rsid w:val="7E1C07A5"/>
    <w:rsid w:val="7E5F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pageBreakBefore/>
      <w:numPr>
        <w:ilvl w:val="0"/>
        <w:numId w:val="1"/>
      </w:numPr>
      <w:spacing w:before="340" w:after="330" w:line="360" w:lineRule="auto"/>
      <w:jc w:val="center"/>
      <w:outlineLvl w:val="0"/>
    </w:pPr>
    <w:rPr>
      <w:b/>
      <w:bCs/>
      <w:kern w:val="44"/>
      <w:sz w:val="36"/>
      <w:szCs w:val="44"/>
    </w:rPr>
  </w:style>
  <w:style w:type="paragraph" w:styleId="3">
    <w:name w:val="heading 2"/>
    <w:basedOn w:val="1"/>
    <w:next w:val="4"/>
    <w:qFormat/>
    <w:uiPriority w:val="9"/>
    <w:pPr>
      <w:keepNext/>
      <w:keepLines/>
      <w:pageBreakBefore/>
      <w:numPr>
        <w:ilvl w:val="1"/>
        <w:numId w:val="2"/>
      </w:numPr>
      <w:spacing w:before="120" w:after="120" w:line="360" w:lineRule="auto"/>
      <w:jc w:val="center"/>
      <w:outlineLvl w:val="1"/>
    </w:pPr>
    <w:rPr>
      <w:rFonts w:ascii="Times New Roman" w:hAnsi="Times New Roman"/>
      <w:b/>
      <w:bCs/>
      <w:sz w:val="30"/>
      <w:szCs w:val="32"/>
    </w:rPr>
  </w:style>
  <w:style w:type="paragraph" w:styleId="5">
    <w:name w:val="heading 3"/>
    <w:basedOn w:val="1"/>
    <w:next w:val="1"/>
    <w:qFormat/>
    <w:uiPriority w:val="9"/>
    <w:pPr>
      <w:keepNext/>
      <w:keepLines/>
      <w:pageBreakBefore/>
      <w:numPr>
        <w:ilvl w:val="2"/>
        <w:numId w:val="3"/>
      </w:numPr>
      <w:spacing w:line="360" w:lineRule="auto"/>
      <w:jc w:val="center"/>
      <w:outlineLvl w:val="2"/>
    </w:pPr>
    <w:rPr>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6">
    <w:name w:val="Body Text"/>
    <w:basedOn w:val="1"/>
    <w:qFormat/>
    <w:uiPriority w:val="99"/>
    <w:rPr>
      <w:rFonts w:ascii="楷体_GB2312" w:hAnsi="Arial" w:eastAsia="楷体_GB2312"/>
      <w:kern w:val="0"/>
      <w:sz w:val="28"/>
      <w:szCs w:val="2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
    <w:name w:val="Char"/>
    <w:basedOn w:val="1"/>
    <w:qFormat/>
    <w:uiPriority w:val="0"/>
    <w:pPr>
      <w:tabs>
        <w:tab w:val="left" w:pos="360"/>
      </w:tabs>
      <w:ind w:firstLine="200" w:firstLineChars="200"/>
    </w:pPr>
    <w:rPr>
      <w:rFonts w:ascii="Times New Roman" w:hAnsi="Times New Roman"/>
      <w:sz w:val="28"/>
      <w:szCs w:val="30"/>
    </w:rPr>
  </w:style>
  <w:style w:type="character" w:customStyle="1" w:styleId="14">
    <w:name w:val="页眉 字符"/>
    <w:basedOn w:val="11"/>
    <w:link w:val="8"/>
    <w:qFormat/>
    <w:uiPriority w:val="0"/>
    <w:rPr>
      <w:rFonts w:asciiTheme="minorHAnsi" w:hAnsiTheme="minorHAnsi" w:eastAsiaTheme="minorEastAsia" w:cstheme="minorBidi"/>
      <w:kern w:val="2"/>
      <w:sz w:val="18"/>
      <w:szCs w:val="18"/>
    </w:rPr>
  </w:style>
  <w:style w:type="character" w:customStyle="1" w:styleId="15">
    <w:name w:val="页脚 字符"/>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5887</Words>
  <Characters>6972</Characters>
  <Lines>52</Lines>
  <Paragraphs>14</Paragraphs>
  <TotalTime>1</TotalTime>
  <ScaleCrop>false</ScaleCrop>
  <LinksUpToDate>false</LinksUpToDate>
  <CharactersWithSpaces>7463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2023-08-14T03:32:00Z</dcterms:created>
  <dc:creator>谢可爱</dc:creator>
  <cp:lastModifiedBy>谢可爱</cp:lastModifiedBy>
  <cp:lastPrinted>2023-05-22T01:51:00Z</cp:lastPrinted>
  <dcterms:modified xsi:type="dcterms:W3CDTF">2023-09-06T03:19:22Z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863D1E57082D4C19ADF054B5007B5F94_13</vt:lpwstr>
  </property>
</Properties>
</file>